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Paso 2 – Frameworks de Gobernanza y Soporte</w:t>
      </w:r>
    </w:p>
    <w:p>
      <w:r>
        <w:rPr>
          <w:b/>
          <w:sz w:val="24"/>
        </w:rPr>
        <w:t>Frameworks Existentes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Framework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Área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Descripción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Gobierno Corporativo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Gerencia / Dirección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Define responsabilidades, niveles de autoridad y mecanismos para la toma y aprobación de decisiones relevantes para FinData Credit.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Gestión de Riesgos y Cumplimiento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Riesgo / Cumplimiento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Establece políticas y controles para gestionar riesgos crediticios, operativos y regulatorios que deben ser considerados por la arquitectura.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Gobierno de Datos y Seguridad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Datos / Seguridad / Tecnología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Define lineamientos para el uso, calidad, acceso, protección y trazabilidad de los datos personales y financieros.</w:t>
            </w:r>
          </w:p>
        </w:tc>
      </w:tr>
    </w:tbl>
    <w:p/>
    <w:p>
      <w:r>
        <w:rPr>
          <w:b/>
          <w:sz w:val="24"/>
        </w:rPr>
        <w:t>Procesos Relacionados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Proceso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Área Responsable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Relación con EA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Originación y evaluación de crédito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Crédito / Riesgo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Proceso principal que la arquitectura deberá soportar y transformar para lograr decisiones de crédito más ágiles.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Gestión e integración de datos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Datos / Tecnología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Proporciona la información interna y externa necesaria para evaluar al cliente y apoyar el cálculo del riesgo crediticio.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Gestión del crédito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Operaciones / Crédito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Comprende desembolso, seguimiento, recaudo y demás actividades del ciclo de vida del crédito relacionadas con la arquitectura.</w:t>
            </w:r>
          </w:p>
        </w:tc>
      </w:tr>
    </w:tbl>
    <w:p/>
    <w:p>
      <w:pPr>
        <w:spacing w:before="80"/>
      </w:pPr>
      <w:r>
        <w:rPr>
          <w:b/>
        </w:rPr>
        <w:t xml:space="preserve">Nota: </w:t>
      </w:r>
      <w:r>
        <w:t>En esta etapa se identifican los marcos de gobierno y los procesos existentes que condicionan la Arquitectura Empresarial; todavía no se seleccionan tecnologías específicas.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