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OBSERVACIONES DE INSTALACIÓN</w:t>
      </w:r>
    </w:p>
    <w:p>
      <w:pPr>
        <w:jc w:val="center"/>
      </w:pPr>
      <w:r>
        <w:rPr>
          <w:color w:val="606060"/>
          <w:sz w:val="20"/>
        </w:rPr>
        <w:t>Sistema Control de Vencimientos — AbrirSistema.exe / lanzador.js</w:t>
      </w:r>
    </w:p>
    <w:p>
      <w:pPr>
        <w:jc w:val="center"/>
      </w:pPr>
      <w:r>
        <w:rPr>
          <w:color w:val="909090"/>
          <w:sz w:val="18"/>
        </w:rPr>
        <w:t>Versión: 31/03/2026</w:t>
      </w:r>
    </w:p>
    <w:p/>
    <w:p>
      <w:pPr>
        <w:pBdr>
          <w:bottom w:val="single" w:sz="6" w:space="1" w:color="1F497D"/>
        </w:pBdr>
      </w:pPr>
    </w:p>
    <w:p/>
    <w:p>
      <w:pPr>
        <w:spacing w:before="280" w:after="80"/>
      </w:pPr>
      <w:r>
        <w:rPr>
          <w:b/>
          <w:color w:val="1F497D"/>
          <w:sz w:val="26"/>
        </w:rPr>
        <w:t>1. Introducción</w:t>
      </w:r>
    </w:p>
    <w:p>
      <w:pPr>
        <w:spacing w:after="80"/>
        <w:ind w:left="288"/>
      </w:pPr>
      <w:r>
        <w:t>Este documento describe los riesgos técnicos identificados durante el desarrollo del lanzador AbrirSistema.exe para el Sistema Control de Vencimientos. El lanzador detecta automáticamente la IP local de la máquina servidora y abre el navegador en la dirección correcta, iniciando el servidor en segundo plano si no estaba activo. Cada riesgo debe ser evaluado antes y durante la instalación en el cliente.</w:t>
      </w:r>
    </w:p>
    <w:p>
      <w:pPr>
        <w:spacing w:before="280" w:after="80"/>
      </w:pPr>
      <w:r>
        <w:rPr>
          <w:b/>
          <w:color w:val="1F497D"/>
          <w:sz w:val="26"/>
        </w:rPr>
        <w:t>2. Riesgos Identificados</w:t>
      </w:r>
    </w:p>
    <w:p>
      <w:pPr>
        <w:spacing w:before="200" w:after="40"/>
      </w:pPr>
      <w:r>
        <w:rPr>
          <w:b/>
          <w:color w:val="C05020"/>
          <w:sz w:val="22"/>
        </w:rPr>
        <w:t>Riesgo 1 — Múltiples interfaces de red activas</w:t>
      </w:r>
    </w:p>
    <w:p>
      <w:pPr>
        <w:spacing w:after="80"/>
        <w:ind w:left="288"/>
      </w:pPr>
      <w:r>
        <w:t>La función obtenerIPLocal() recorre las interfaces de red y devuelve la primera dirección IPv4 que no sea interna (loopback). Si la PC tiene más de una interfaz activa al mismo tiempo (por ejemplo, WiFi y cable de red Ethernet), el sistema puede devolver la IP incorrecta.</w:t>
      </w:r>
    </w:p>
    <w:p>
      <w:pPr>
        <w:pStyle w:val="ListBullet"/>
        <w:spacing w:after="60"/>
        <w:ind w:left="576"/>
      </w:pPr>
      <w:r>
        <w:t>El servidor podría estar escuchando en la IP de la red cableada, pero el lanzador abre el navegador con la IP del WiFi (o viceversa).</w:t>
      </w:r>
    </w:p>
    <w:p>
      <w:pPr>
        <w:pStyle w:val="ListBullet"/>
        <w:spacing w:after="60"/>
        <w:ind w:left="576"/>
      </w:pPr>
      <w:r>
        <w:t>El navegador mostraría un error de conexión aunque el servidor esté funcionando correctamente.</w:t>
      </w:r>
    </w:p>
    <w:p>
      <w:pPr>
        <w:spacing w:after="120"/>
        <w:ind w:left="432"/>
        <w:shd w:val="clear" w:color="auto" w:fill="FFF3CD"/>
      </w:pPr>
      <w:r>
        <w:rPr>
          <w:b/>
          <w:color w:val="856A00"/>
        </w:rPr>
        <w:t xml:space="preserve">⚠  NOTA: </w:t>
      </w:r>
      <w:r>
        <w:rPr>
          <w:color w:val="554400"/>
        </w:rPr>
        <w:t>Durante la instalación, verificar que la PC del servidor use UNA SOLA interfaz de red activa. Si el negocio usa cable de red, deshabilitar el WiFi desde el Panel de Control de Windows. Si usa WiFi, deshabilitar el adaptador Ethernet.</w:t>
      </w:r>
    </w:p>
    <w:p/>
    <w:p>
      <w:pPr>
        <w:spacing w:before="200" w:after="40"/>
      </w:pPr>
      <w:r>
        <w:rPr>
          <w:b/>
          <w:color w:val="C05020"/>
          <w:sz w:val="22"/>
        </w:rPr>
        <w:t>Riesgo 2 — IP dinámica asignada por DHCP</w:t>
      </w:r>
    </w:p>
    <w:p>
      <w:pPr>
        <w:spacing w:after="80"/>
        <w:ind w:left="288"/>
      </w:pPr>
      <w:r>
        <w:t>Si el router asigna IPs de forma dinámica (DHCP), la dirección IP de la PC servidora puede cambiar cada vez que se reinicia el equipo o el router. El lanzador siempre detecta la IP actual en el momento de ejecutarse, por lo que el lanzador en sí no falla. Sin embargo, el problema surge en los siguientes escenarios:</w:t>
      </w:r>
    </w:p>
    <w:p>
      <w:pPr>
        <w:pStyle w:val="ListBullet"/>
        <w:spacing w:after="60"/>
        <w:ind w:left="576"/>
      </w:pPr>
      <w:r>
        <w:t>Si un empleado guardó la URL como favorito en el navegador con la IP anterior, el acceso desde esos favoritos dejará de funcionar.</w:t>
      </w:r>
    </w:p>
    <w:p>
      <w:pPr>
        <w:pStyle w:val="ListBullet"/>
        <w:spacing w:after="60"/>
        <w:ind w:left="576"/>
      </w:pPr>
      <w:r>
        <w:t>Si otros dispositivos de la red (tablets, celulares) acceden directamente por IP sin usar el lanzador, perderán acceso tras el cambio de IP.</w:t>
      </w:r>
    </w:p>
    <w:p>
      <w:pPr>
        <w:spacing w:after="120"/>
        <w:ind w:left="432"/>
        <w:shd w:val="clear" w:color="auto" w:fill="FFF3CD"/>
      </w:pPr>
      <w:r>
        <w:rPr>
          <w:b/>
          <w:color w:val="856A00"/>
        </w:rPr>
        <w:t xml:space="preserve">⚠  NOTA: </w:t>
      </w:r>
      <w:r>
        <w:rPr>
          <w:color w:val="554400"/>
        </w:rPr>
        <w:t>Se recomienda configurar la PC servidora con IP estática (fija) en la configuración de red de Windows. Pasos: Panel de Control → Centro de redes → Cambiar configuración del adaptador → Propiedades → IPv4 → Usar la siguiente dirección IP. Asignar una IP fuera del rango DHCP del router (consultar manual del router del cliente).</w:t>
      </w:r>
    </w:p>
    <w:p/>
    <w:p>
      <w:pPr>
        <w:spacing w:before="200" w:after="40"/>
      </w:pPr>
      <w:r>
        <w:rPr>
          <w:b/>
          <w:color w:val="B07000"/>
          <w:sz w:val="22"/>
        </w:rPr>
        <w:t>Riesgo 3 — Advertencia de certificado SSL en el navegador</w:t>
      </w:r>
    </w:p>
    <w:p>
      <w:pPr>
        <w:spacing w:after="80"/>
        <w:ind w:left="288"/>
      </w:pPr>
      <w:r>
        <w:t>El servidor utiliza HTTPS con un certificado SSL autofirmado (no emitido por una autoridad de certificación reconocida como DigiCert, Let's Encrypt, etc.). Esto provoca que todos los navegadores muestren una pantalla de advertencia de seguridad la primera vez que se accede al sistema desde cada dispositivo.</w:t>
      </w:r>
    </w:p>
    <w:p>
      <w:pPr>
        <w:pStyle w:val="ListBullet"/>
        <w:spacing w:after="60"/>
        <w:ind w:left="576"/>
      </w:pPr>
      <w:r>
        <w:t>Chrome mostrará: "Tu conexión no es privada" con código de error NET::ERR_CERT_AUTHORITY_INVALID.</w:t>
      </w:r>
    </w:p>
    <w:p>
      <w:pPr>
        <w:pStyle w:val="ListBullet"/>
        <w:spacing w:after="60"/>
        <w:ind w:left="576"/>
      </w:pPr>
      <w:r>
        <w:t>Edge y Firefox mostrarán advertencias similares con diferentes mensajes.</w:t>
      </w:r>
    </w:p>
    <w:p>
      <w:pPr>
        <w:pStyle w:val="ListBullet"/>
        <w:spacing w:after="60"/>
        <w:ind w:left="576"/>
      </w:pPr>
      <w:r>
        <w:t>El cliente podría alarmarse y pensar que el sistema está dañado o es inseguro.</w:t>
      </w:r>
    </w:p>
    <w:p>
      <w:pPr>
        <w:spacing w:after="120"/>
        <w:ind w:left="432"/>
        <w:shd w:val="clear" w:color="auto" w:fill="FFF3CD"/>
      </w:pPr>
      <w:r>
        <w:rPr>
          <w:b/>
          <w:color w:val="856A00"/>
        </w:rPr>
        <w:t xml:space="preserve">⚠  NOTA: </w:t>
      </w:r>
      <w:r>
        <w:rPr>
          <w:color w:val="554400"/>
        </w:rPr>
        <w:t>Instruir al cliente durante la instalación: al ver la advertencia, hacer clic en "Configuración avanzada" (o "Avanzado") y luego en "Continuar a [IP] (no seguro)". Esto solo ocurre la primera vez en cada navegador/dispositivo. Una vez aceptado, no vuelve a aparecer hasta limpiar caché.</w:t>
      </w:r>
    </w:p>
    <w:p/>
    <w:p>
      <w:pPr>
        <w:spacing w:before="200" w:after="40"/>
      </w:pPr>
      <w:r>
        <w:rPr>
          <w:b/>
          <w:color w:val="C05020"/>
          <w:sz w:val="22"/>
        </w:rPr>
        <w:t>Riesgo 4 — ControlVencimientos.exe no encontrado</w:t>
      </w:r>
    </w:p>
    <w:p>
      <w:pPr>
        <w:spacing w:after="80"/>
        <w:ind w:left="288"/>
      </w:pPr>
      <w:r>
        <w:t>El lanzador construye la ruta del servidor usando la ubicación del propio ejecutable (process.execPath). Si AbrirSistema.exe y ControlVencimientos.exe no están en la misma carpeta, el lanzador no podrá iniciar el servidor y el navegador abrirá una pantalla en blanco o con error de conexión.</w:t>
      </w:r>
    </w:p>
    <w:p>
      <w:pPr>
        <w:pStyle w:val="ListBullet"/>
        <w:spacing w:after="60"/>
        <w:ind w:left="576"/>
      </w:pPr>
      <w:r>
        <w:t>Esto ocurre si el cliente mueve AbrirSistema.exe a otra carpeta (por ejemplo, al Escritorio) separándolo de ControlVencimientos.exe.</w:t>
      </w:r>
    </w:p>
    <w:p>
      <w:pPr>
        <w:pStyle w:val="ListBullet"/>
        <w:spacing w:after="60"/>
        <w:ind w:left="576"/>
      </w:pPr>
      <w:r>
        <w:t>No hay mensaje de error visible para el usuario; el sistema simplemente no carga.</w:t>
      </w:r>
    </w:p>
    <w:p>
      <w:pPr>
        <w:spacing w:after="120"/>
        <w:ind w:left="432"/>
        <w:shd w:val="clear" w:color="auto" w:fill="FFF3CD"/>
      </w:pPr>
      <w:r>
        <w:rPr>
          <w:b/>
          <w:color w:val="856A00"/>
        </w:rPr>
        <w:t xml:space="preserve">⚠  NOTA: </w:t>
      </w:r>
      <w:r>
        <w:rPr>
          <w:color w:val="554400"/>
        </w:rPr>
        <w:t>Ambos archivos (.exe) DEBEN estar siempre en la misma carpeta. Crear un acceso directo en el Escritorio apuntando a AbrirSistema.exe en su ubicación original, nunca mover el archivo.</w:t>
      </w:r>
    </w:p>
    <w:p/>
    <w:p>
      <w:pPr>
        <w:spacing w:before="200" w:after="40"/>
      </w:pPr>
      <w:r>
        <w:rPr>
          <w:b/>
          <w:color w:val="C05020"/>
          <w:sz w:val="22"/>
        </w:rPr>
        <w:t>Riesgo 5 — Firewall de Windows bloqueando el puerto 3002</w:t>
      </w:r>
    </w:p>
    <w:p>
      <w:pPr>
        <w:spacing w:after="80"/>
        <w:ind w:left="288"/>
      </w:pPr>
      <w:r>
        <w:t>Windows Firewall puede bloquear las conexiones entrantes al puerto 3002, impidiendo que otros dispositivos de la red local accedan al sistema. El lanzador en la PC servidora funcionará correctamente, pero tablets, celulares u otras PCs no podrán conectarse.</w:t>
      </w:r>
    </w:p>
    <w:p>
      <w:pPr>
        <w:pStyle w:val="ListBullet"/>
        <w:spacing w:after="60"/>
        <w:ind w:left="576"/>
      </w:pPr>
      <w:r>
        <w:t>Windows puede solicitar permiso la primera vez que ControlVencimientos.exe intenta escuchar en la red.</w:t>
      </w:r>
    </w:p>
    <w:p>
      <w:pPr>
        <w:pStyle w:val="ListBullet"/>
        <w:spacing w:after="60"/>
        <w:ind w:left="576"/>
      </w:pPr>
      <w:r>
        <w:t>Si el cliente hace clic en "Cancelar" o "Bloquear", el puerto quedará bloqueado permanentemente hasta configurarlo manualmente.</w:t>
      </w:r>
    </w:p>
    <w:p>
      <w:pPr>
        <w:spacing w:after="120"/>
        <w:ind w:left="432"/>
        <w:shd w:val="clear" w:color="auto" w:fill="FFF3CD"/>
      </w:pPr>
      <w:r>
        <w:rPr>
          <w:b/>
          <w:color w:val="856A00"/>
        </w:rPr>
        <w:t xml:space="preserve">⚠  NOTA: </w:t>
      </w:r>
      <w:r>
        <w:rPr>
          <w:color w:val="554400"/>
        </w:rPr>
        <w:t>Durante la primera ejecución, si Windows Firewall pregunta, seleccionar "Permitir acceso" marcando tanto "Redes privadas" como "Redes públicas". Si ya fue bloqueado, ir a: Panel de Control → Firewall de Windows Defender → Permitir una aplicación → agregar ControlVencimientos.exe manualmente.</w:t>
      </w:r>
    </w:p>
    <w:p/>
    <w:p>
      <w:pPr>
        <w:spacing w:before="280" w:after="80"/>
      </w:pPr>
      <w:r>
        <w:rPr>
          <w:b/>
          <w:color w:val="1F497D"/>
          <w:sz w:val="26"/>
        </w:rPr>
        <w:t>3. Lista de Verificación para la Instalación</w:t>
      </w:r>
    </w:p>
    <w:p>
      <w:pPr>
        <w:spacing w:after="80"/>
        <w:ind w:left="288"/>
      </w:pPr>
      <w:r>
        <w:t>Antes de entregar el sistema al cliente, confirmar los siguientes puntos:</w:t>
      </w:r>
    </w:p>
    <w:p>
      <w:pPr>
        <w:pStyle w:val="ListBullet"/>
        <w:spacing w:after="80"/>
        <w:ind w:left="576"/>
      </w:pPr>
      <w:r>
        <w:rPr>
          <w:b/>
        </w:rPr>
        <w:t xml:space="preserve">Verificar interfaces de red: </w:t>
      </w:r>
      <w:r>
        <w:t>dejar activa solo una (WiFi o cable, no ambas).</w:t>
      </w:r>
    </w:p>
    <w:p>
      <w:pPr>
        <w:pStyle w:val="ListBullet"/>
        <w:spacing w:after="80"/>
        <w:ind w:left="576"/>
      </w:pPr>
      <w:r>
        <w:rPr>
          <w:b/>
        </w:rPr>
        <w:t xml:space="preserve">Asignar IP estática: </w:t>
      </w:r>
      <w:r>
        <w:t>configurar dirección IP fija en la PC servidora.</w:t>
      </w:r>
    </w:p>
    <w:p>
      <w:pPr>
        <w:pStyle w:val="ListBullet"/>
        <w:spacing w:after="80"/>
        <w:ind w:left="576"/>
      </w:pPr>
      <w:r>
        <w:rPr>
          <w:b/>
        </w:rPr>
        <w:t xml:space="preserve">Probar acceso desde otro dispositivo: </w:t>
      </w:r>
      <w:r>
        <w:t>tablet o celular debe cargar el sistema correctamente.</w:t>
      </w:r>
    </w:p>
    <w:p>
      <w:pPr>
        <w:pStyle w:val="ListBullet"/>
        <w:spacing w:after="80"/>
        <w:ind w:left="576"/>
      </w:pPr>
      <w:r>
        <w:rPr>
          <w:b/>
        </w:rPr>
        <w:t xml:space="preserve">Instruir al cliente sobre la advertencia SSL: </w:t>
      </w:r>
      <w:r>
        <w:t>mostrar cómo hacer clic en "Avanzado → Continuar".</w:t>
      </w:r>
    </w:p>
    <w:p>
      <w:pPr>
        <w:pStyle w:val="ListBullet"/>
        <w:spacing w:after="80"/>
        <w:ind w:left="576"/>
      </w:pPr>
      <w:r>
        <w:rPr>
          <w:b/>
        </w:rPr>
        <w:t xml:space="preserve">Verificar ubicación de archivos: </w:t>
      </w:r>
      <w:r>
        <w:t>AbrirSistema.exe y ControlVencimientos.exe en la misma carpeta.</w:t>
      </w:r>
    </w:p>
    <w:p>
      <w:pPr>
        <w:pStyle w:val="ListBullet"/>
        <w:spacing w:after="80"/>
        <w:ind w:left="576"/>
      </w:pPr>
      <w:r>
        <w:rPr>
          <w:b/>
        </w:rPr>
        <w:t xml:space="preserve">Crear acceso directo en Escritorio: </w:t>
      </w:r>
      <w:r>
        <w:t>apuntar a AbrirSistema.exe sin mover el archivo original.</w:t>
      </w:r>
    </w:p>
    <w:p>
      <w:pPr>
        <w:pStyle w:val="ListBullet"/>
        <w:spacing w:after="80"/>
        <w:ind w:left="576"/>
      </w:pPr>
      <w:r>
        <w:rPr>
          <w:b/>
        </w:rPr>
        <w:t xml:space="preserve">Confirmar que Firewall permite el puerto 3002: </w:t>
      </w:r>
      <w:r>
        <w:t>probar conexión desde otro equipo de la red.</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Control de Vencimientos  —  Documento interno  —  Jhony Lorenzo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