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rPr>
          <w:sz w:val="22"/>
          <w:szCs w:val="22"/>
        </w:rPr>
        <w:t xml:space="preserve"/>
      </w:r>
    </w:p>
    <w:p>
      <w:pPr>
        <w:spacing w:before="0" w:after="160"/>
        <w:jc w:val="center"/>
      </w:pPr>
      <w:r>
        <w:rPr>
          <w:rFonts w:ascii="Arial" w:cs="Arial" w:eastAsia="Arial" w:hAnsi="Arial"/>
          <w:b/>
          <w:bCs/>
          <w:color w:val="1A1A2E"/>
          <w:sz w:val="72"/>
          <w:szCs w:val="72"/>
        </w:rPr>
        <w:t xml:space="preserve">BETO OS v3.0</w:t>
      </w:r>
    </w:p>
    <w:p>
      <w:pPr>
        <w:pBdr>
          <w:bottom w:val="single" w:color="0F3460" w:sz="12" w:space="6"/>
        </w:pBdr>
        <w:spacing w:before="0" w:after="80"/>
        <w:jc w:val="center"/>
      </w:pPr>
      <w:r>
        <w:rPr>
          <w:rFonts w:ascii="Arial" w:cs="Arial" w:eastAsia="Arial" w:hAnsi="Arial"/>
          <w:b/>
          <w:bCs/>
          <w:color w:val="0F3460"/>
          <w:sz w:val="40"/>
          <w:szCs w:val="40"/>
        </w:rPr>
        <w:t xml:space="preserve">INFORME DE AUDITORÍA TÉCNICA</w:t>
      </w:r>
    </w:p>
    <w:p>
      <w:pPr>
        <w:spacing w:before="120" w:after="80"/>
        <w:jc w:val="center"/>
      </w:pPr>
      <w:r>
        <w:rPr>
          <w:rFonts w:ascii="Arial" w:cs="Arial" w:eastAsia="Arial" w:hAnsi="Arial"/>
          <w:color w:val="7F8C8D"/>
          <w:sz w:val="24"/>
          <w:szCs w:val="24"/>
        </w:rPr>
        <w:t xml:space="preserve">Active Protection System — Capa 1-3 + Financial Metrics</w:t>
      </w:r>
    </w:p>
    <w:p>
      <w:pPr>
        <w:spacing w:before="80" w:after="800"/>
        <w:jc w:val="center"/>
      </w:pPr>
      <w:r>
        <w:rPr>
          <w:rFonts w:ascii="Arial" w:cs="Arial" w:eastAsia="Arial" w:hAnsi="Arial"/>
          <w:color w:val="7F8C8D"/>
          <w:sz w:val="22"/>
          <w:szCs w:val="22"/>
        </w:rPr>
        <w:t xml:space="preserve">Marzo 2026</w:t>
      </w:r>
    </w:p>
    <w:p>
      <w:pPr>
        <w:shd w:fill="1A1A2E" w:val="clear"/>
        <w:spacing w:before="0" w:after="0"/>
        <w:jc w:val="center"/>
      </w:pPr>
      <w:r>
        <w:rPr>
          <w:rFonts w:ascii="Arial" w:cs="Arial" w:eastAsia="Arial" w:hAnsi="Arial"/>
          <w:b/>
          <w:bCs/>
          <w:color w:val="FFFFFF"/>
          <w:sz w:val="24"/>
          <w:szCs w:val="24"/>
        </w:rPr>
        <w:t xml:space="preserve">RESUMEN EJECUTIVO DE SALUD DEL SISTEMA</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Motor / Archivo</w:t>
            </w:r>
          </w:p>
        </w:tc>
        <w:tc>
          <w:tcPr>
            <w:tcW w:type="dxa" w:w="456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Evaluacion</w:t>
            </w:r>
          </w:p>
        </w:tc>
        <w:tc>
          <w:tcPr>
            <w:tcW w:type="dxa" w:w="18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Estado</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businessHealthEngine.ts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Arquitectura solida, detectores bien segregados. Magic numbers y estimaciones hardcodeadas.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BUENO</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decisionEngine.ts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Simulaciones de escenarios funcionales pero con estimaciones arbitrarias sin configurar.</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MEJORABLE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protectionEngine.ts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Capa de consolidacion limpia. Doble ordenamiento redundante detectado.</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BUENO</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financialMetricsEngine.ts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Motor de calculo puro y bien encapsulado. Caso edge en marginTarget &gt;= 1 sin guard.</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SOLIDO</w:t>
            </w:r>
          </w:p>
        </w:tc>
      </w:tr>
    </w:tbl>
    <w:p>
      <w:pPr>
        <w:spacing w:before="0" w:after="240"/>
      </w:pPr>
      <w:r>
        <w:rPr>
          <w:sz w:val="22"/>
          <w:szCs w:val="22"/>
        </w:rPr>
        <w:t xml:space="preserve"/>
      </w:r>
    </w:p>
    <w:p>
      <w:r>
        <w:br w:type="page"/>
      </w:r>
    </w:p>
    <w:p>
      <w:pPr>
        <w:pStyle w:val="Heading1"/>
        <w:pBdr>
          <w:bottom w:val="single" w:color="0F3460" w:sz="8" w:space="4"/>
        </w:pBdr>
        <w:spacing w:before="360" w:after="120"/>
      </w:pPr>
      <w:r>
        <w:rPr>
          <w:rFonts w:ascii="Arial" w:cs="Arial" w:eastAsia="Arial" w:hAnsi="Arial"/>
          <w:b/>
          <w:bCs/>
          <w:color w:val="1A1A2E"/>
          <w:sz w:val="36"/>
          <w:szCs w:val="36"/>
        </w:rPr>
        <w:t xml:space="preserve">1. Contexto y Alcance de la Auditoria</w:t>
      </w:r>
    </w:p>
    <w:p>
      <w:pPr>
        <w:spacing w:before="60" w:after="60"/>
      </w:pPr>
      <w:r>
        <w:rPr>
          <w:rFonts w:ascii="Arial" w:cs="Arial" w:eastAsia="Arial" w:hAnsi="Arial"/>
          <w:color w:val="2C3E50"/>
          <w:sz w:val="22"/>
          <w:szCs w:val="22"/>
        </w:rPr>
        <w:t xml:space="preserve">Se auditaron los cuatro archivos que componen el nucleo del Active Protection System (APS) de BETO OS. El objetivo fue evaluar la solidez arquitectonica, identificar riesgos de calidad, errores logicos latentes y oportunidades de optimizacion.</w:t>
      </w:r>
    </w:p>
    <w:p>
      <w:pPr>
        <w:spacing w:before="0" w:after="120"/>
      </w:pPr>
      <w:r>
        <w:rPr>
          <w:sz w:val="22"/>
          <w:szCs w:val="22"/>
        </w:rPr>
        <w:t xml:space="preserve"/>
      </w:r>
    </w:p>
    <w:p>
      <w:pPr>
        <w:spacing w:before="60" w:after="60"/>
      </w:pPr>
      <w:r>
        <w:rPr>
          <w:rFonts w:ascii="Arial" w:cs="Arial" w:eastAsia="Arial" w:hAnsi="Arial"/>
          <w:b/>
          <w:bCs/>
          <w:color w:val="2C3E50"/>
          <w:sz w:val="22"/>
          <w:szCs w:val="22"/>
        </w:rPr>
        <w:t xml:space="preserve">Archivos auditados:</w:t>
      </w:r>
    </w:p>
    <w:p>
      <w:pPr>
        <w:pStyle w:val="ListParagraph"/>
        <w:numPr>
          <w:ilvl w:val="0"/>
          <w:numId w:val="2"/>
        </w:numPr>
        <w:spacing w:before="40" w:after="40"/>
      </w:pPr>
      <w:r>
        <w:rPr>
          <w:rFonts w:ascii="Arial" w:cs="Arial" w:eastAsia="Arial" w:hAnsi="Arial"/>
          <w:color w:val="2C3E50"/>
          <w:sz w:val="22"/>
          <w:szCs w:val="22"/>
        </w:rPr>
        <w:t xml:space="preserve">businessHealthEngine.ts — Capa 1: Deteccion de senales de riesgo</w:t>
      </w:r>
    </w:p>
    <w:p>
      <w:pPr>
        <w:pStyle w:val="ListParagraph"/>
        <w:numPr>
          <w:ilvl w:val="0"/>
          <w:numId w:val="2"/>
        </w:numPr>
        <w:spacing w:before="40" w:after="40"/>
      </w:pPr>
      <w:r>
        <w:rPr>
          <w:rFonts w:ascii="Arial" w:cs="Arial" w:eastAsia="Arial" w:hAnsi="Arial"/>
          <w:color w:val="2C3E50"/>
          <w:sz w:val="22"/>
          <w:szCs w:val="22"/>
        </w:rPr>
        <w:t xml:space="preserve">decisionEngine.ts — Capa 2: Simulacion de escenarios y beneficio neto</w:t>
      </w:r>
    </w:p>
    <w:p>
      <w:pPr>
        <w:pStyle w:val="ListParagraph"/>
        <w:numPr>
          <w:ilvl w:val="0"/>
          <w:numId w:val="2"/>
        </w:numPr>
        <w:spacing w:before="40" w:after="40"/>
      </w:pPr>
      <w:r>
        <w:rPr>
          <w:rFonts w:ascii="Arial" w:cs="Arial" w:eastAsia="Arial" w:hAnsi="Arial"/>
          <w:color w:val="2C3E50"/>
          <w:sz w:val="22"/>
          <w:szCs w:val="22"/>
        </w:rPr>
        <w:t xml:space="preserve">protectionEngine.ts — Capa 3: Consolidacion y prioridad final</w:t>
      </w:r>
    </w:p>
    <w:p>
      <w:pPr>
        <w:pStyle w:val="ListParagraph"/>
        <w:numPr>
          <w:ilvl w:val="0"/>
          <w:numId w:val="2"/>
        </w:numPr>
        <w:spacing w:before="40" w:after="40"/>
      </w:pPr>
      <w:r>
        <w:rPr>
          <w:rFonts w:ascii="Arial" w:cs="Arial" w:eastAsia="Arial" w:hAnsi="Arial"/>
          <w:color w:val="2C3E50"/>
          <w:sz w:val="22"/>
          <w:szCs w:val="22"/>
        </w:rPr>
        <w:t xml:space="preserve">financialMetricsEngine.ts — Motor de calculos de rentabilidad</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2"/>
              <w:left w:val="single" w:color="D5D8DC" w:sz="4"/>
              <w:bottom w:val="single" w:color="D5D8DC" w:sz="4"/>
              <w:right w:val="single" w:color="D5D8DC" w:sz="4"/>
            </w:tcBorders>
            <w:shd w:fill="EBF5FB" w:val="clear"/>
            <w:tcMar>
              <w:top w:type="dxa" w:w="120"/>
              <w:left w:type="dxa" w:w="200"/>
              <w:bottom w:type="dxa" w:w="120"/>
              <w:right w:type="dxa" w:w="200"/>
            </w:tcMar>
          </w:tcPr>
          <w:p>
            <w:r>
              <w:rPr>
                <w:rFonts w:ascii="Arial" w:cs="Arial" w:eastAsia="Arial" w:hAnsi="Arial"/>
                <w:b/>
                <w:bCs/>
                <w:color w:val="2980B9"/>
                <w:sz w:val="22"/>
                <w:szCs w:val="22"/>
              </w:rPr>
              <w:t xml:space="preserve">Principio de Auditoria</w:t>
            </w:r>
          </w:p>
          <w:p>
            <w:pPr>
              <w:spacing w:before="40"/>
            </w:pPr>
            <w:r>
              <w:rPr>
                <w:rFonts w:ascii="Arial" w:cs="Arial" w:eastAsia="Arial" w:hAnsi="Arial"/>
                <w:color w:val="2C3E50"/>
                <w:sz w:val="20"/>
                <w:szCs w:val="20"/>
              </w:rPr>
              <w:t xml:space="preserve">Los motores son TypeScript puro, deterministas y sin efectos secundarios — lo cual es correcto.</w:t>
            </w:r>
          </w:p>
          <w:p>
            <w:pPr>
              <w:spacing w:before="40"/>
            </w:pPr>
            <w:r>
              <w:rPr>
                <w:rFonts w:ascii="Arial" w:cs="Arial" w:eastAsia="Arial" w:hAnsi="Arial"/>
                <w:color w:val="2C3E50"/>
                <w:sz w:val="20"/>
                <w:szCs w:val="20"/>
              </w:rPr>
              <w:t xml:space="preserve">El analisis evalua: precision matematica, manejo de edge cases, magic numbers, escalabilidad y coherencia entre capas.</w:t>
            </w:r>
          </w:p>
        </w:tc>
      </w:tr>
    </w:tbl>
    <w:p>
      <w:pPr>
        <w:spacing w:before="0" w:after="240"/>
      </w:pPr>
      <w:r>
        <w:rPr>
          <w:sz w:val="22"/>
          <w:szCs w:val="22"/>
        </w:rPr>
        <w:t xml:space="preserve"/>
      </w:r>
    </w:p>
    <w:p>
      <w:r>
        <w:br w:type="page"/>
      </w:r>
    </w:p>
    <w:p>
      <w:pPr>
        <w:pStyle w:val="Heading1"/>
        <w:pBdr>
          <w:bottom w:val="single" w:color="0F3460" w:sz="8" w:space="4"/>
        </w:pBdr>
        <w:spacing w:before="360" w:after="120"/>
      </w:pPr>
      <w:r>
        <w:rPr>
          <w:rFonts w:ascii="Arial" w:cs="Arial" w:eastAsia="Arial" w:hAnsi="Arial"/>
          <w:b/>
          <w:bCs/>
          <w:color w:val="1A1A2E"/>
          <w:sz w:val="36"/>
          <w:szCs w:val="36"/>
        </w:rPr>
        <w:t xml:space="preserve">2. businessHealthEngine.ts</w:t>
      </w:r>
    </w:p>
    <w:p>
      <w:pPr>
        <w:pStyle w:val="Heading2"/>
        <w:spacing w:before="280" w:after="80"/>
      </w:pPr>
      <w:r>
        <w:rPr>
          <w:rFonts w:ascii="Arial" w:cs="Arial" w:eastAsia="Arial" w:hAnsi="Arial"/>
          <w:b/>
          <w:bCs/>
          <w:color w:val="0F3460"/>
          <w:sz w:val="28"/>
          <w:szCs w:val="28"/>
        </w:rPr>
        <w:t xml:space="preserve">2.1 Fortalezas</w:t>
      </w:r>
    </w:p>
    <w:p>
      <w:pPr>
        <w:spacing w:before="60" w:after="60"/>
      </w:pPr>
      <w:r>
        <w:rPr>
          <w:rFonts w:ascii="Arial" w:cs="Arial" w:eastAsia="Arial" w:hAnsi="Arial"/>
          <w:color w:val="2C3E50"/>
          <w:sz w:val="22"/>
          <w:szCs w:val="22"/>
        </w:rPr>
        <w:t xml:space="preserve">El archivo demuestra una separacion de responsabilidades ejemplar. Cada tipo de riesgo tiene su propio detector aislado (detectDebt, detectPriceBelowCost, detectMarginDrift, detectStockBreak, detectDeadStock), lo que facilita el testing unitario y la extension futura.</w:t>
      </w:r>
    </w:p>
    <w:p>
      <w:pPr>
        <w:spacing w:before="0" w:after="120"/>
      </w:pPr>
      <w:r>
        <w:rPr>
          <w:sz w:val="22"/>
          <w:szCs w:val="22"/>
        </w:rPr>
        <w:t xml:space="preserve"/>
      </w:r>
    </w:p>
    <w:p>
      <w:pPr>
        <w:pStyle w:val="ListParagraph"/>
        <w:numPr>
          <w:ilvl w:val="0"/>
          <w:numId w:val="2"/>
        </w:numPr>
        <w:spacing w:before="40" w:after="40"/>
      </w:pPr>
      <w:r>
        <w:rPr>
          <w:rFonts w:ascii="Arial" w:cs="Arial" w:eastAsia="Arial" w:hAnsi="Arial"/>
          <w:color w:val="2C3E50"/>
          <w:sz w:val="22"/>
          <w:szCs w:val="22"/>
        </w:rPr>
        <w:t xml:space="preserve">Pureza del modulo: cero imports de React o efectos. Cumple la regla documentada.</w:t>
      </w:r>
    </w:p>
    <w:p>
      <w:pPr>
        <w:pStyle w:val="ListParagraph"/>
        <w:numPr>
          <w:ilvl w:val="0"/>
          <w:numId w:val="2"/>
        </w:numPr>
        <w:spacing w:before="40" w:after="40"/>
      </w:pPr>
      <w:r>
        <w:rPr>
          <w:rFonts w:ascii="Arial" w:cs="Arial" w:eastAsia="Arial" w:hAnsi="Arial"/>
          <w:color w:val="2C3E50"/>
          <w:sz w:val="22"/>
          <w:szCs w:val="22"/>
        </w:rPr>
        <w:t xml:space="preserve">Los tipos RiskSignal, KPI, HealthReport y HealthCheckInput estan bien definidos y son extensibles.</w:t>
      </w:r>
    </w:p>
    <w:p>
      <w:pPr>
        <w:pStyle w:val="ListParagraph"/>
        <w:numPr>
          <w:ilvl w:val="0"/>
          <w:numId w:val="2"/>
        </w:numPr>
        <w:spacing w:before="40" w:after="40"/>
      </w:pPr>
      <w:r>
        <w:rPr>
          <w:rFonts w:ascii="Arial" w:cs="Arial" w:eastAsia="Arial" w:hAnsi="Arial"/>
          <w:color w:val="2C3E50"/>
          <w:sz w:val="22"/>
          <w:szCs w:val="22"/>
        </w:rPr>
        <w:t xml:space="preserve">avgDailyConsumption usa una ventana de 30 dias — enfoque solido para smoothing del consumo.</w:t>
      </w:r>
    </w:p>
    <w:p>
      <w:pPr>
        <w:pStyle w:val="ListParagraph"/>
        <w:numPr>
          <w:ilvl w:val="0"/>
          <w:numId w:val="2"/>
        </w:numPr>
        <w:spacing w:before="40" w:after="40"/>
      </w:pPr>
      <w:r>
        <w:rPr>
          <w:rFonts w:ascii="Arial" w:cs="Arial" w:eastAsia="Arial" w:hAnsi="Arial"/>
          <w:color w:val="2C3E50"/>
          <w:sz w:val="22"/>
          <w:szCs w:val="22"/>
        </w:rPr>
        <w:t xml:space="preserve">El healthScore penaliza segun tipo y severidad, no solo cuenta senales — buen diseno.</w:t>
      </w:r>
    </w:p>
    <w:p>
      <w:pPr>
        <w:spacing w:before="0" w:after="120"/>
      </w:pPr>
      <w:r>
        <w:rPr>
          <w:sz w:val="22"/>
          <w:szCs w:val="22"/>
        </w:rPr>
        <w:t xml:space="preserve"/>
      </w:r>
    </w:p>
    <w:p>
      <w:pPr>
        <w:pStyle w:val="Heading2"/>
        <w:spacing w:before="280" w:after="80"/>
      </w:pPr>
      <w:r>
        <w:rPr>
          <w:rFonts w:ascii="Arial" w:cs="Arial" w:eastAsia="Arial" w:hAnsi="Arial"/>
          <w:b/>
          <w:bCs/>
          <w:color w:val="0F3460"/>
          <w:sz w:val="28"/>
          <w:szCs w:val="28"/>
        </w:rPr>
        <w:t xml:space="preserve">2.2 Hallazgos y 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400"/>
        <w:gridCol w:w="3160"/>
      </w:tblGrid>
      <w:tr>
        <w:tc>
          <w:tcPr>
            <w:tcW w:type="dxa" w:w="18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Archivo</w:t>
            </w:r>
          </w:p>
        </w:tc>
        <w:tc>
          <w:tcPr>
            <w:tcW w:type="dxa" w:w="30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Hallazgo</w:t>
            </w:r>
          </w:p>
        </w:tc>
        <w:tc>
          <w:tcPr>
            <w:tcW w:type="dxa" w:w="14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Severidad</w:t>
            </w:r>
          </w:p>
        </w:tc>
        <w:tc>
          <w:tcPr>
            <w:tcW w:type="dxa" w:w="316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Recomendación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detectMarginDrift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La linea `const targetMargin: number = (p as any).target_margin ?? 30` usa un cast `as any` y un valor hardcodeado de 30% como fallback. Si el tipo Product no incluye target_margin, es un contrato roto silencioso.</w:t>
            </w:r>
          </w:p>
        </w:tc>
        <w:tc>
          <w:tcPr>
            <w:tcW w:type="dxa" w:w="14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pPr>
              <w:jc w:val="center"/>
            </w:pPr>
            <w:r>
              <w:rPr>
                <w:rFonts w:ascii="Arial" w:cs="Arial" w:eastAsia="Arial" w:hAnsi="Arial"/>
                <w:b/>
                <w:bCs/>
                <w:color w:val="E67E22"/>
                <w:sz w:val="18"/>
                <w:szCs w:val="18"/>
              </w:rPr>
              <w:t xml:space="preserve">ALTO</w:t>
            </w:r>
          </w:p>
        </w:tc>
        <w:tc>
          <w:tcPr>
            <w:tcW w:type="dxa" w:w="3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Agregar target_margin al tipo Product en types/index.ts. Eliminar el cast `as any`. El fallback 30 deberia ser una constante exportada (DEFAULT_TARGET_MARGIN) en un archivo de configuracion.</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detectStockBreak</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La probabilidad se calcula como `1.0 - daysRound * 0.08`. Esto llega a 0.44 para 7 dias — lo cual es razonable, pero el coeficiente 0.08 es un magic number sin documentacion ni base empirica.</w:t>
            </w:r>
          </w:p>
        </w:tc>
        <w:tc>
          <w:tcPr>
            <w:tcW w:type="dxa" w:w="14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pPr>
              <w:jc w:val="center"/>
            </w:pPr>
            <w:r>
              <w:rPr>
                <w:rFonts w:ascii="Arial" w:cs="Arial" w:eastAsia="Arial" w:hAnsi="Arial"/>
                <w:b/>
                <w:bCs/>
                <w:color w:val="2980B9"/>
                <w:sz w:val="18"/>
                <w:szCs w:val="18"/>
              </w:rPr>
              <w:t xml:space="preserve">MEDIO</w:t>
            </w:r>
          </w:p>
        </w:tc>
        <w:tc>
          <w:tcPr>
            <w:tcW w:type="dxa" w:w="31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Extraer el coeficiente a una constante exportada: STOCK_BREAK_PROBABILITY_DECAY = 0.08, con un comentario explicando la logica. Considerar exponencial en lugar de lineal.</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detectStockBreak</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La logica de dependentProductIds usa una condicion fragil: `movements.some(m =&gt; m.material_id === mat.id &amp;&amp; m.reference?.includes(pm.product_id))`. Si el campo reference tiene otro formato, los productos dependientes siempre dan 0.</w:t>
            </w:r>
          </w:p>
        </w:tc>
        <w:tc>
          <w:tcPr>
            <w:tcW w:type="dxa" w:w="14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pPr>
              <w:jc w:val="center"/>
            </w:pPr>
            <w:r>
              <w:rPr>
                <w:rFonts w:ascii="Arial" w:cs="Arial" w:eastAsia="Arial" w:hAnsi="Arial"/>
                <w:b/>
                <w:bCs/>
                <w:color w:val="E67E22"/>
                <w:sz w:val="18"/>
                <w:szCs w:val="18"/>
              </w:rPr>
              <w:t xml:space="preserve">ALTO</w:t>
            </w:r>
          </w:p>
        </w:tc>
        <w:tc>
          <w:tcPr>
            <w:tcW w:type="dxa" w:w="3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Auditar el formato real del campo reference en los StockMovements. Documentar el contrato del campo. Considerar una relacion explicita en el schema en lugar de parsear strings.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detectDeadStock</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El umbral `if (frozenValue &lt; 5)` descarta lotes de menos de $5 — esto puede ser correcto para algunas monedas pero es un magic number sin contexto.</w:t>
            </w:r>
          </w:p>
        </w:tc>
        <w:tc>
          <w:tcPr>
            <w:tcW w:type="dxa" w:w="14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pPr>
              <w:jc w:val="center"/>
            </w:pPr>
            <w:r>
              <w:rPr>
                <w:rFonts w:ascii="Arial" w:cs="Arial" w:eastAsia="Arial" w:hAnsi="Arial"/>
                <w:b/>
                <w:bCs/>
                <w:color w:val="27AE60"/>
                <w:sz w:val="18"/>
                <w:szCs w:val="18"/>
              </w:rPr>
              <w:t xml:space="preserve">BAJO</w:t>
            </w:r>
          </w:p>
        </w:tc>
        <w:tc>
          <w:tcPr>
            <w:tcW w:type="dxa" w:w="31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Extraer a constante DEAD_STOCK_MIN_VALUE = 5 con comentario. Evaluar si debe ser configurable por tenant en un contexto multi-tenant.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detectDebt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La variable totalInventoryValue se calcula pero nunca se usa en la logica de la senal. Solo aparece en rawData.</w:t>
            </w:r>
          </w:p>
        </w:tc>
        <w:tc>
          <w:tcPr>
            <w:tcW w:type="dxa" w:w="14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pPr>
              <w:jc w:val="center"/>
            </w:pPr>
            <w:r>
              <w:rPr>
                <w:rFonts w:ascii="Arial" w:cs="Arial" w:eastAsia="Arial" w:hAnsi="Arial"/>
                <w:b/>
                <w:bCs/>
                <w:color w:val="27AE60"/>
                <w:sz w:val="18"/>
                <w:szCs w:val="18"/>
              </w:rPr>
              <w:t xml:space="preserve">BAJO</w:t>
            </w:r>
          </w:p>
        </w:tc>
        <w:tc>
          <w:tcPr>
            <w:tcW w:type="dxa" w:w="3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Eliminar el calculo si solo se usa como dato informativo, o usarlo activamente para calcular el estimatedImpact como porcentaje del inventario total.</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buildKPIs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El acceso `(p.target_margin || 30)` en buildKPIs repite el mismo patron de fallback hardcodeado que en detectMarginDrift.</w:t>
            </w:r>
          </w:p>
        </w:tc>
        <w:tc>
          <w:tcPr>
            <w:tcW w:type="dxa" w:w="14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pPr>
              <w:jc w:val="center"/>
            </w:pPr>
            <w:r>
              <w:rPr>
                <w:rFonts w:ascii="Arial" w:cs="Arial" w:eastAsia="Arial" w:hAnsi="Arial"/>
                <w:b/>
                <w:bCs/>
                <w:color w:val="2980B9"/>
                <w:sz w:val="18"/>
                <w:szCs w:val="18"/>
              </w:rPr>
              <w:t xml:space="preserve">MEDIO</w:t>
            </w:r>
          </w:p>
        </w:tc>
        <w:tc>
          <w:tcPr>
            <w:tcW w:type="dxa" w:w="31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Centralizar el fallback en una constante unica para que ambos puntos usen el mismo valor de referencia.</w:t>
            </w:r>
          </w:p>
        </w:tc>
      </w:tr>
    </w:tbl>
    <w:p>
      <w:pPr>
        <w:spacing w:before="0" w:after="240"/>
      </w:pPr>
      <w:r>
        <w:rPr>
          <w:sz w:val="22"/>
          <w:szCs w:val="22"/>
        </w:rPr>
        <w:t xml:space="preserve"/>
      </w:r>
    </w:p>
    <w:p>
      <w:r>
        <w:br w:type="page"/>
      </w:r>
    </w:p>
    <w:p>
      <w:pPr>
        <w:pStyle w:val="Heading1"/>
        <w:pBdr>
          <w:bottom w:val="single" w:color="0F3460" w:sz="8" w:space="4"/>
        </w:pBdr>
        <w:spacing w:before="360" w:after="120"/>
      </w:pPr>
      <w:r>
        <w:rPr>
          <w:rFonts w:ascii="Arial" w:cs="Arial" w:eastAsia="Arial" w:hAnsi="Arial"/>
          <w:b/>
          <w:bCs/>
          <w:color w:val="1A1A2E"/>
          <w:sz w:val="36"/>
          <w:szCs w:val="36"/>
        </w:rPr>
        <w:t xml:space="preserve">3. decisionEngine.ts</w:t>
      </w:r>
    </w:p>
    <w:p>
      <w:pPr>
        <w:pStyle w:val="Heading2"/>
        <w:spacing w:before="280" w:after="80"/>
      </w:pPr>
      <w:r>
        <w:rPr>
          <w:rFonts w:ascii="Arial" w:cs="Arial" w:eastAsia="Arial" w:hAnsi="Arial"/>
          <w:b/>
          <w:bCs/>
          <w:color w:val="0F3460"/>
          <w:sz w:val="28"/>
          <w:szCs w:val="28"/>
        </w:rPr>
        <w:t xml:space="preserve">3.1 Fortalezas</w:t>
      </w:r>
    </w:p>
    <w:p>
      <w:pPr>
        <w:pStyle w:val="ListParagraph"/>
        <w:numPr>
          <w:ilvl w:val="0"/>
          <w:numId w:val="2"/>
        </w:numPr>
        <w:spacing w:before="40" w:after="40"/>
      </w:pPr>
      <w:r>
        <w:rPr>
          <w:rFonts w:ascii="Arial" w:cs="Arial" w:eastAsia="Arial" w:hAnsi="Arial"/>
          <w:color w:val="2C3E50"/>
          <w:sz w:val="22"/>
          <w:szCs w:val="22"/>
        </w:rPr>
        <w:t xml:space="preserve">El principio "el dinero manda, no la etiqueta de severidad" esta correctamente implementado: el ordenamiento es por netBenefit DESC, no por severity.</w:t>
      </w:r>
    </w:p>
    <w:p>
      <w:pPr>
        <w:pStyle w:val="ListParagraph"/>
        <w:numPr>
          <w:ilvl w:val="0"/>
          <w:numId w:val="2"/>
        </w:numPr>
        <w:spacing w:before="40" w:after="40"/>
      </w:pPr>
      <w:r>
        <w:rPr>
          <w:rFonts w:ascii="Arial" w:cs="Arial" w:eastAsia="Arial" w:hAnsi="Arial"/>
          <w:color w:val="2C3E50"/>
          <w:sz w:val="22"/>
          <w:szCs w:val="22"/>
        </w:rPr>
        <w:t xml:space="preserve">La separacion simulateInaction / simulateAction es clara y facilita el testing de cada escenario de forma aislada.</w:t>
      </w:r>
    </w:p>
    <w:p>
      <w:pPr>
        <w:pStyle w:val="ListParagraph"/>
        <w:numPr>
          <w:ilvl w:val="0"/>
          <w:numId w:val="2"/>
        </w:numPr>
        <w:spacing w:before="40" w:after="40"/>
      </w:pPr>
      <w:r>
        <w:rPr>
          <w:rFonts w:ascii="Arial" w:cs="Arial" w:eastAsia="Arial" w:hAnsi="Arial"/>
          <w:color w:val="2C3E50"/>
          <w:sz w:val="22"/>
          <w:szCs w:val="22"/>
        </w:rPr>
        <w:t xml:space="preserve">buildDecisionReport es una funcion pura que recibe un HealthReport y retorna un DecisionReport sin efectos secundarios.</w:t>
      </w:r>
    </w:p>
    <w:p>
      <w:pPr>
        <w:spacing w:before="0" w:after="120"/>
      </w:pPr>
      <w:r>
        <w:rPr>
          <w:sz w:val="22"/>
          <w:szCs w:val="22"/>
        </w:rPr>
        <w:t xml:space="preserve"/>
      </w:r>
    </w:p>
    <w:p>
      <w:pPr>
        <w:pStyle w:val="Heading2"/>
        <w:spacing w:before="280" w:after="80"/>
      </w:pPr>
      <w:r>
        <w:rPr>
          <w:rFonts w:ascii="Arial" w:cs="Arial" w:eastAsia="Arial" w:hAnsi="Arial"/>
          <w:b/>
          <w:bCs/>
          <w:color w:val="0F3460"/>
          <w:sz w:val="28"/>
          <w:szCs w:val="28"/>
        </w:rPr>
        <w:t xml:space="preserve">3.2 Hallazgos y 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400"/>
        <w:gridCol w:w="3160"/>
      </w:tblGrid>
      <w:tr>
        <w:tc>
          <w:tcPr>
            <w:tcW w:type="dxa" w:w="18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Archivo</w:t>
            </w:r>
          </w:p>
        </w:tc>
        <w:tc>
          <w:tcPr>
            <w:tcW w:type="dxa" w:w="30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Hallazgo</w:t>
            </w:r>
          </w:p>
        </w:tc>
        <w:tc>
          <w:tcPr>
            <w:tcW w:type="dxa" w:w="14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Severidad</w:t>
            </w:r>
          </w:p>
        </w:tc>
        <w:tc>
          <w:tcPr>
            <w:tcW w:type="dxa" w:w="316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Recomendación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simulateInaction</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stock_break: `const lostProduction = dailyRate * daysBlocked * (avgUnitCost * 2)`. El factor `* 2` intenta estimar margen perdido (doble del costo), pero es un magic number arbitrario sin base documental.</w:t>
            </w:r>
          </w:p>
        </w:tc>
        <w:tc>
          <w:tcPr>
            <w:tcW w:type="dxa" w:w="14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pPr>
              <w:jc w:val="center"/>
            </w:pPr>
            <w:r>
              <w:rPr>
                <w:rFonts w:ascii="Arial" w:cs="Arial" w:eastAsia="Arial" w:hAnsi="Arial"/>
                <w:b/>
                <w:bCs/>
                <w:color w:val="E67E22"/>
                <w:sz w:val="18"/>
                <w:szCs w:val="18"/>
              </w:rPr>
              <w:t xml:space="preserve">ALTO</w:t>
            </w:r>
          </w:p>
        </w:tc>
        <w:tc>
          <w:tcPr>
            <w:tcW w:type="dxa" w:w="3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Reemplazar con una constante MARGIN_MULTIPLIER_ESTIMATE = 2.0 con comentario. Idealmente, calcular el margen real del producto dependiente usando los datos del HealthReport.</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simulateInaction</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margin_drift: `const salesLoss = gap * 10` — el factor 10 asume arbitrariamente 10 unidades vendidas. No tiene relacion con datos reales de ventas del producto.</w:t>
            </w:r>
          </w:p>
        </w:tc>
        <w:tc>
          <w:tcPr>
            <w:tcW w:type="dxa" w:w="14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pPr>
              <w:jc w:val="center"/>
            </w:pPr>
            <w:r>
              <w:rPr>
                <w:rFonts w:ascii="Arial" w:cs="Arial" w:eastAsia="Arial" w:hAnsi="Arial"/>
                <w:b/>
                <w:bCs/>
                <w:color w:val="27AE60"/>
                <w:sz w:val="18"/>
                <w:szCs w:val="18"/>
              </w:rPr>
              <w:t xml:space="preserve">CRITICO</w:t>
            </w:r>
          </w:p>
        </w:tc>
        <w:tc>
          <w:tcPr>
            <w:tcW w:type="dxa" w:w="31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Pasar el historial de productMovements al DecisionEngine (o incluyendo en rawData) para usar el volumen de ventas real de los ultimos 30 dias en lugar del hardcoded 10.</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simulateInaction</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price_below_cost: `const totalLoss = deficit * 15` — mismo problema, 15 unidades es arbitrario.</w:t>
            </w:r>
          </w:p>
        </w:tc>
        <w:tc>
          <w:tcPr>
            <w:tcW w:type="dxa" w:w="14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pPr>
              <w:jc w:val="center"/>
            </w:pPr>
            <w:r>
              <w:rPr>
                <w:rFonts w:ascii="Arial" w:cs="Arial" w:eastAsia="Arial" w:hAnsi="Arial"/>
                <w:b/>
                <w:bCs/>
                <w:color w:val="27AE60"/>
                <w:sz w:val="18"/>
                <w:szCs w:val="18"/>
              </w:rPr>
              <w:t xml:space="preserve">CRITICO</w:t>
            </w:r>
          </w:p>
        </w:tc>
        <w:tc>
          <w:tcPr>
            <w:tcW w:type="dxa" w:w="3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Misma solucion: incluir en rawData.avgMonthlySales al momento de crear la senal en detectPriceBelowCost.</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simulateAction</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stock_break: `projectedMarginIn7Days: 1` — se retorna el valor literal 1 (que representa 1%) como margen proyectado si se actua. Esto es incorrecto para cualquier producto con margen distinto a 1%.</w:t>
            </w:r>
          </w:p>
        </w:tc>
        <w:tc>
          <w:tcPr>
            <w:tcW w:type="dxa" w:w="14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pPr>
              <w:jc w:val="center"/>
            </w:pPr>
            <w:r>
              <w:rPr>
                <w:rFonts w:ascii="Arial" w:cs="Arial" w:eastAsia="Arial" w:hAnsi="Arial"/>
                <w:b/>
                <w:bCs/>
                <w:color w:val="E67E22"/>
                <w:sz w:val="18"/>
                <w:szCs w:val="18"/>
              </w:rPr>
              <w:t xml:space="preserve">ALTO</w:t>
            </w:r>
          </w:p>
        </w:tc>
        <w:tc>
          <w:tcPr>
            <w:tcW w:type="dxa" w:w="31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Incluir el margen real del producto en el rawData de la senal stock_break y usarlo aqui en lugar del literal 1.</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simulateAction</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price_below_cost: `const recovered = cost * 15 * 0.2` — asume margen minimo del 20% como target de recuperacion, sin tomar en cuenta el target_margin real del producto.</w:t>
            </w:r>
          </w:p>
        </w:tc>
        <w:tc>
          <w:tcPr>
            <w:tcW w:type="dxa" w:w="14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pPr>
              <w:jc w:val="center"/>
            </w:pPr>
            <w:r>
              <w:rPr>
                <w:rFonts w:ascii="Arial" w:cs="Arial" w:eastAsia="Arial" w:hAnsi="Arial"/>
                <w:b/>
                <w:bCs/>
                <w:color w:val="2980B9"/>
                <w:sz w:val="18"/>
                <w:szCs w:val="18"/>
              </w:rPr>
              <w:t xml:space="preserve">MEDIO</w:t>
            </w:r>
          </w:p>
        </w:tc>
        <w:tc>
          <w:tcPr>
            <w:tcW w:type="dxa" w:w="3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Usar rawData.targetMargin (si se incluye en la senal) para calcular el precio objetivo real.</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buildDecisionReport</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El campo priority se asigna dos veces: primero como idx en el map, luego se sobreescribe despues del sort. La primera asignacion es dead code.</w:t>
            </w:r>
          </w:p>
        </w:tc>
        <w:tc>
          <w:tcPr>
            <w:tcW w:type="dxa" w:w="14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pPr>
              <w:jc w:val="center"/>
            </w:pPr>
            <w:r>
              <w:rPr>
                <w:rFonts w:ascii="Arial" w:cs="Arial" w:eastAsia="Arial" w:hAnsi="Arial"/>
                <w:b/>
                <w:bCs/>
                <w:color w:val="27AE60"/>
                <w:sz w:val="18"/>
                <w:szCs w:val="18"/>
              </w:rPr>
              <w:t xml:space="preserve">BAJO</w:t>
            </w:r>
          </w:p>
        </w:tc>
        <w:tc>
          <w:tcPr>
            <w:tcW w:type="dxa" w:w="31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Eliminar la primera asignacion de priority en el map. Solo asignar despues del sort.</w:t>
            </w:r>
          </w:p>
        </w:tc>
      </w:tr>
    </w:tbl>
    <w:p>
      <w:pPr>
        <w:spacing w:before="0" w:after="240"/>
      </w:pPr>
      <w:r>
        <w:rPr>
          <w:sz w:val="22"/>
          <w:szCs w:val="22"/>
        </w:rPr>
        <w:t xml:space="preserve"/>
      </w:r>
    </w:p>
    <w:p>
      <w:r>
        <w:br w:type="page"/>
      </w:r>
    </w:p>
    <w:p>
      <w:pPr>
        <w:pStyle w:val="Heading1"/>
        <w:pBdr>
          <w:bottom w:val="single" w:color="0F3460" w:sz="8" w:space="4"/>
        </w:pBdr>
        <w:spacing w:before="360" w:after="120"/>
      </w:pPr>
      <w:r>
        <w:rPr>
          <w:rFonts w:ascii="Arial" w:cs="Arial" w:eastAsia="Arial" w:hAnsi="Arial"/>
          <w:b/>
          <w:bCs/>
          <w:color w:val="1A1A2E"/>
          <w:sz w:val="36"/>
          <w:szCs w:val="36"/>
        </w:rPr>
        <w:t xml:space="preserve">4. protectionEngine.ts</w:t>
      </w:r>
    </w:p>
    <w:p>
      <w:pPr>
        <w:pStyle w:val="Heading2"/>
        <w:spacing w:before="280" w:after="80"/>
      </w:pPr>
      <w:r>
        <w:rPr>
          <w:rFonts w:ascii="Arial" w:cs="Arial" w:eastAsia="Arial" w:hAnsi="Arial"/>
          <w:b/>
          <w:bCs/>
          <w:color w:val="0F3460"/>
          <w:sz w:val="28"/>
          <w:szCs w:val="28"/>
        </w:rPr>
        <w:t xml:space="preserve">4.1 Fortalezas</w:t>
      </w:r>
    </w:p>
    <w:p>
      <w:pPr>
        <w:pStyle w:val="ListParagraph"/>
        <w:numPr>
          <w:ilvl w:val="0"/>
          <w:numId w:val="2"/>
        </w:numPr>
        <w:spacing w:before="40" w:after="40"/>
      </w:pPr>
      <w:r>
        <w:rPr>
          <w:rFonts w:ascii="Arial" w:cs="Arial" w:eastAsia="Arial" w:hAnsi="Arial"/>
          <w:color w:val="2C3E50"/>
          <w:sz w:val="22"/>
          <w:szCs w:val="22"/>
        </w:rPr>
        <w:t xml:space="preserve">Implementa el patron Facade correctamente: el Dashboard solo consume runProtectionEngine y no necesita conocer las capas internas.</w:t>
      </w:r>
    </w:p>
    <w:p>
      <w:pPr>
        <w:pStyle w:val="ListParagraph"/>
        <w:numPr>
          <w:ilvl w:val="0"/>
          <w:numId w:val="2"/>
        </w:numPr>
        <w:spacing w:before="40" w:after="40"/>
      </w:pPr>
      <w:r>
        <w:rPr>
          <w:rFonts w:ascii="Arial" w:cs="Arial" w:eastAsia="Arial" w:hAnsi="Arial"/>
          <w:color w:val="2C3E50"/>
          <w:sz w:val="22"/>
          <w:szCs w:val="22"/>
        </w:rPr>
        <w:t xml:space="preserve">La formula priorityScore = impact x probability x urgencyFactor es elegante y captura tres dimensiones de riesgo en un solo numero.</w:t>
      </w:r>
    </w:p>
    <w:p>
      <w:pPr>
        <w:pStyle w:val="ListParagraph"/>
        <w:numPr>
          <w:ilvl w:val="0"/>
          <w:numId w:val="2"/>
        </w:numPr>
        <w:spacing w:before="40" w:after="40"/>
      </w:pPr>
      <w:r>
        <w:rPr>
          <w:rFonts w:ascii="Arial" w:cs="Arial" w:eastAsia="Arial" w:hAnsi="Arial"/>
          <w:color w:val="2C3E50"/>
          <w:sz w:val="22"/>
          <w:szCs w:val="22"/>
        </w:rPr>
        <w:t xml:space="preserve">urgencyFactor usa intervalos discretos que son faciles de ajustar y entender operativamente.</w:t>
      </w:r>
    </w:p>
    <w:p>
      <w:pPr>
        <w:spacing w:before="0" w:after="120"/>
      </w:pPr>
      <w:r>
        <w:rPr>
          <w:sz w:val="22"/>
          <w:szCs w:val="22"/>
        </w:rPr>
        <w:t xml:space="preserve"/>
      </w:r>
    </w:p>
    <w:p>
      <w:pPr>
        <w:pStyle w:val="Heading2"/>
        <w:spacing w:before="280" w:after="80"/>
      </w:pPr>
      <w:r>
        <w:rPr>
          <w:rFonts w:ascii="Arial" w:cs="Arial" w:eastAsia="Arial" w:hAnsi="Arial"/>
          <w:b/>
          <w:bCs/>
          <w:color w:val="0F3460"/>
          <w:sz w:val="28"/>
          <w:szCs w:val="28"/>
        </w:rPr>
        <w:t xml:space="preserve">4.2 Hallazgos y 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400"/>
        <w:gridCol w:w="3160"/>
      </w:tblGrid>
      <w:tr>
        <w:tc>
          <w:tcPr>
            <w:tcW w:type="dxa" w:w="18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Archivo</w:t>
            </w:r>
          </w:p>
        </w:tc>
        <w:tc>
          <w:tcPr>
            <w:tcW w:type="dxa" w:w="30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Hallazgo</w:t>
            </w:r>
          </w:p>
        </w:tc>
        <w:tc>
          <w:tcPr>
            <w:tcW w:type="dxa" w:w="14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Severidad</w:t>
            </w:r>
          </w:p>
        </w:tc>
        <w:tc>
          <w:tcPr>
            <w:tcW w:type="dxa" w:w="316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Recomendación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runProtectionEngine</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Doble ordenamiento redundante: decisionEngine ya ordena las acciones por netBenefit DESC. protectionEngine las re-ordena por priorityScore DESC y re-asigna priority. El primer ordenamiento queda efectivamente ignorado.</w:t>
            </w:r>
          </w:p>
        </w:tc>
        <w:tc>
          <w:tcPr>
            <w:tcW w:type="dxa" w:w="14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pPr>
              <w:jc w:val="center"/>
            </w:pPr>
            <w:r>
              <w:rPr>
                <w:rFonts w:ascii="Arial" w:cs="Arial" w:eastAsia="Arial" w:hAnsi="Arial"/>
                <w:b/>
                <w:bCs/>
                <w:color w:val="2980B9"/>
                <w:sz w:val="18"/>
                <w:szCs w:val="18"/>
              </w:rPr>
              <w:t xml:space="preserve">MEDIO</w:t>
            </w:r>
          </w:p>
        </w:tc>
        <w:tc>
          <w:tcPr>
            <w:tcW w:type="dxa" w:w="3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Documentar explicitamente que el orden del DecisionReport es temporal y sera sobreescrito, o eliminar el sort del DecisionEngine y dejar que sea la Capa 3 la unica responsable del ordenamiento final. Evitar la ambiguedad.</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toProtectionStatus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Los umbrales 80 y 50 del healthScore para PROTEGIDO/EN_RIESGO/CRITICO son magic numbers sin documentacion de la logica detras de esos valores.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pPr>
              <w:jc w:val="center"/>
            </w:pPr>
            <w:r>
              <w:rPr>
                <w:rFonts w:ascii="Arial" w:cs="Arial" w:eastAsia="Arial" w:hAnsi="Arial"/>
                <w:b/>
                <w:bCs/>
                <w:color w:val="27AE60"/>
                <w:sz w:val="18"/>
                <w:szCs w:val="18"/>
              </w:rPr>
              <w:t xml:space="preserve">BAJO</w:t>
            </w:r>
          </w:p>
        </w:tc>
        <w:tc>
          <w:tcPr>
            <w:tcW w:type="dxa" w:w="31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Extraer a constantes: HEALTH_THRESHOLD_PROTECTED = 80, HEALTH_THRESHOLD_AT_RISK = 50 con comentario de por que esos valores.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buildExecutiveSummary</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En el caso CRITICO, el mensaje dice "impacto estimado es de $X" pero usa totalProtectedValue, que semanticamente es "dinero que se protege actuando" — no la perdida proyectada. Son conceptos distintos.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pPr>
              <w:jc w:val="center"/>
            </w:pPr>
            <w:r>
              <w:rPr>
                <w:rFonts w:ascii="Arial" w:cs="Arial" w:eastAsia="Arial" w:hAnsi="Arial"/>
                <w:b/>
                <w:bCs/>
                <w:color w:val="2980B9"/>
                <w:sz w:val="18"/>
                <w:szCs w:val="18"/>
              </w:rPr>
              <w:t xml:space="preserve">MEDIO</w:t>
            </w:r>
          </w:p>
        </w:tc>
        <w:tc>
          <w:tcPr>
            <w:tcW w:type="dxa" w:w="3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En el caso CRITICO, usar un calculo separado de la perdida total proyectada (suma de inactionScenario.projectedValue de todas las acciones), no totalProtectedValue.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ProtectedAction</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La interfaz extiende RecommendedAction y agrega urgencyFactor como number. Sin embargo, urgencyFactor ya se puede derivar de signal.timeToImpactDays con la funcion urgencyFactor(). Almacenarlo duplica estado derivado.</w:t>
            </w:r>
          </w:p>
        </w:tc>
        <w:tc>
          <w:tcPr>
            <w:tcW w:type="dxa" w:w="14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pPr>
              <w:jc w:val="center"/>
            </w:pPr>
            <w:r>
              <w:rPr>
                <w:rFonts w:ascii="Arial" w:cs="Arial" w:eastAsia="Arial" w:hAnsi="Arial"/>
                <w:b/>
                <w:bCs/>
                <w:color w:val="27AE60"/>
                <w:sz w:val="18"/>
                <w:szCs w:val="18"/>
              </w:rPr>
              <w:t xml:space="preserve">BAJO</w:t>
            </w:r>
          </w:p>
        </w:tc>
        <w:tc>
          <w:tcPr>
            <w:tcW w:type="dxa" w:w="31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Evaluar si urgencyFactor en la interfaz es necesario para el consumidor (Dashboard). Si solo se usa para display, mantenerlo. Si no se usa, eliminarlo para evitar estado derivado duplicado.</w:t>
            </w:r>
          </w:p>
        </w:tc>
      </w:tr>
    </w:tbl>
    <w:p>
      <w:pPr>
        <w:spacing w:before="0" w:after="240"/>
      </w:pPr>
      <w:r>
        <w:rPr>
          <w:sz w:val="22"/>
          <w:szCs w:val="22"/>
        </w:rPr>
        <w:t xml:space="preserve"/>
      </w:r>
    </w:p>
    <w:p>
      <w:r>
        <w:br w:type="page"/>
      </w:r>
    </w:p>
    <w:p>
      <w:pPr>
        <w:pStyle w:val="Heading1"/>
        <w:pBdr>
          <w:bottom w:val="single" w:color="0F3460" w:sz="8" w:space="4"/>
        </w:pBdr>
        <w:spacing w:before="360" w:after="120"/>
      </w:pPr>
      <w:r>
        <w:rPr>
          <w:rFonts w:ascii="Arial" w:cs="Arial" w:eastAsia="Arial" w:hAnsi="Arial"/>
          <w:b/>
          <w:bCs/>
          <w:color w:val="1A1A2E"/>
          <w:sz w:val="36"/>
          <w:szCs w:val="36"/>
        </w:rPr>
        <w:t xml:space="preserve">5. financialMetricsEngine.ts</w:t>
      </w:r>
    </w:p>
    <w:p>
      <w:pPr>
        <w:pStyle w:val="Heading2"/>
        <w:spacing w:before="280" w:after="80"/>
      </w:pPr>
      <w:r>
        <w:rPr>
          <w:rFonts w:ascii="Arial" w:cs="Arial" w:eastAsia="Arial" w:hAnsi="Arial"/>
          <w:b/>
          <w:bCs/>
          <w:color w:val="0F3460"/>
          <w:sz w:val="28"/>
          <w:szCs w:val="28"/>
        </w:rPr>
        <w:t xml:space="preserve">5.1 Fortalezas</w:t>
      </w:r>
    </w:p>
    <w:p>
      <w:pPr>
        <w:spacing w:before="60" w:after="60"/>
      </w:pPr>
      <w:r>
        <w:rPr>
          <w:rFonts w:ascii="Arial" w:cs="Arial" w:eastAsia="Arial" w:hAnsi="Arial"/>
          <w:color w:val="2C3E50"/>
          <w:sz w:val="22"/>
          <w:szCs w:val="22"/>
        </w:rPr>
        <w:t xml:space="preserve">Este es el archivo mejor ejecutado de los cuatro. Es una funcion pura sin dependencias externas, correctamente documentada, con manejo de casos edge (precio = 0, precio &lt; costo, precio = costo) y una interfaz de retorno completa y bien tipada.</w:t>
      </w:r>
    </w:p>
    <w:p>
      <w:pPr>
        <w:spacing w:before="0" w:after="120"/>
      </w:pPr>
      <w:r>
        <w:rPr>
          <w:sz w:val="22"/>
          <w:szCs w:val="22"/>
        </w:rPr>
        <w:t xml:space="preserve"/>
      </w:r>
    </w:p>
    <w:p>
      <w:pPr>
        <w:pStyle w:val="ListParagraph"/>
        <w:numPr>
          <w:ilvl w:val="0"/>
          <w:numId w:val="2"/>
        </w:numPr>
        <w:spacing w:before="40" w:after="40"/>
      </w:pPr>
      <w:r>
        <w:rPr>
          <w:rFonts w:ascii="Arial" w:cs="Arial" w:eastAsia="Arial" w:hAnsi="Arial"/>
          <w:color w:val="2C3E50"/>
          <w:sz w:val="22"/>
          <w:szCs w:val="22"/>
        </w:rPr>
        <w:t xml:space="preserve">La formula priceTarget = cost / (1 - marginTarget) es matematicamente correcta para margin-on-price.</w:t>
      </w:r>
    </w:p>
    <w:p>
      <w:pPr>
        <w:pStyle w:val="ListParagraph"/>
        <w:numPr>
          <w:ilvl w:val="0"/>
          <w:numId w:val="2"/>
        </w:numPr>
        <w:spacing w:before="40" w:after="40"/>
      </w:pPr>
      <w:r>
        <w:rPr>
          <w:rFonts w:ascii="Arial" w:cs="Arial" w:eastAsia="Arial" w:hAnsi="Arial"/>
          <w:color w:val="2C3E50"/>
          <w:sz w:val="22"/>
          <w:szCs w:val="22"/>
        </w:rPr>
        <w:t xml:space="preserve">adjustmentNeeded usa un umbral de 0.005 para tolerancia de redondeo — practica correcta.</w:t>
      </w:r>
    </w:p>
    <w:p>
      <w:pPr>
        <w:pStyle w:val="ListParagraph"/>
        <w:numPr>
          <w:ilvl w:val="0"/>
          <w:numId w:val="2"/>
        </w:numPr>
        <w:spacing w:before="40" w:after="40"/>
      </w:pPr>
      <w:r>
        <w:rPr>
          <w:rFonts w:ascii="Arial" w:cs="Arial" w:eastAsia="Arial" w:hAnsi="Arial"/>
          <w:color w:val="2C3E50"/>
          <w:sz w:val="22"/>
          <w:szCs w:val="22"/>
        </w:rPr>
        <w:t xml:space="preserve">priceState separa estados visuales de logica de negocio correctamente.</w:t>
      </w:r>
    </w:p>
    <w:p>
      <w:pPr>
        <w:spacing w:before="0" w:after="120"/>
      </w:pPr>
      <w:r>
        <w:rPr>
          <w:sz w:val="22"/>
          <w:szCs w:val="22"/>
        </w:rPr>
        <w:t xml:space="preserve"/>
      </w:r>
    </w:p>
    <w:p>
      <w:pPr>
        <w:pStyle w:val="Heading2"/>
        <w:spacing w:before="280" w:after="80"/>
      </w:pPr>
      <w:r>
        <w:rPr>
          <w:rFonts w:ascii="Arial" w:cs="Arial" w:eastAsia="Arial" w:hAnsi="Arial"/>
          <w:b/>
          <w:bCs/>
          <w:color w:val="0F3460"/>
          <w:sz w:val="28"/>
          <w:szCs w:val="28"/>
        </w:rPr>
        <w:t xml:space="preserve">5.2 Hallazgos y 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400"/>
        <w:gridCol w:w="3160"/>
      </w:tblGrid>
      <w:tr>
        <w:tc>
          <w:tcPr>
            <w:tcW w:type="dxa" w:w="18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Archivo</w:t>
            </w:r>
          </w:p>
        </w:tc>
        <w:tc>
          <w:tcPr>
            <w:tcW w:type="dxa" w:w="30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Hallazgo</w:t>
            </w:r>
          </w:p>
        </w:tc>
        <w:tc>
          <w:tcPr>
            <w:tcW w:type="dxa" w:w="14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Severidad</w:t>
            </w:r>
          </w:p>
        </w:tc>
        <w:tc>
          <w:tcPr>
            <w:tcW w:type="dxa" w:w="316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Recomendación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calculateFinancialMetrics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Si marginTarget &gt;= 1 (100% o mas), priceTarget retorna 0. Esto es matematicamente correcto (division por cero o negativo) pero silencioso — no hay validacion ni warning.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pPr>
              <w:jc w:val="center"/>
            </w:pPr>
            <w:r>
              <w:rPr>
                <w:rFonts w:ascii="Arial" w:cs="Arial" w:eastAsia="Arial" w:hAnsi="Arial"/>
                <w:b/>
                <w:bCs/>
                <w:color w:val="2980B9"/>
                <w:sz w:val="18"/>
                <w:szCs w:val="18"/>
              </w:rPr>
              <w:t xml:space="preserve">MEDIO</w:t>
            </w:r>
          </w:p>
        </w:tc>
        <w:tc>
          <w:tcPr>
            <w:tcW w:type="dxa" w:w="3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Agregar un guard al inicio: `if (marginTarget &gt;= 1) throw new Error("marginTarget debe ser &lt; 1 (un decimal, no un porcentaje)")`. Esto previene errores silenciosos si un consumidor pasa 30 en lugar de 0.30.</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marginDisplay</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La condicion `currentPrice &lt;= 0` retorna string vacio ''. En la UI esto puede renderizarse como un campo en blanco sin indicar el motivo.</w:t>
            </w:r>
          </w:p>
        </w:tc>
        <w:tc>
          <w:tcPr>
            <w:tcW w:type="dxa" w:w="14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pPr>
              <w:jc w:val="center"/>
            </w:pPr>
            <w:r>
              <w:rPr>
                <w:rFonts w:ascii="Arial" w:cs="Arial" w:eastAsia="Arial" w:hAnsi="Arial"/>
                <w:b/>
                <w:bCs/>
                <w:color w:val="27AE60"/>
                <w:sz w:val="18"/>
                <w:szCs w:val="18"/>
              </w:rPr>
              <w:t xml:space="preserve">BAJO</w:t>
            </w:r>
          </w:p>
        </w:tc>
        <w:tc>
          <w:tcPr>
            <w:tcW w:type="dxa" w:w="31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Retornar un valor semantico como "Sin precio" o "N/A" en lugar de string vacio para mejorar la claridad en la UI.</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priceState</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La condicion `currentPrice &lt; cost * 1.08` para el estado warning (margen menor al 8%) es un magic number. No esta relacionado con el marginTarget del producto.</w:t>
            </w:r>
          </w:p>
        </w:tc>
        <w:tc>
          <w:tcPr>
            <w:tcW w:type="dxa" w:w="14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pPr>
              <w:jc w:val="center"/>
            </w:pPr>
            <w:r>
              <w:rPr>
                <w:rFonts w:ascii="Arial" w:cs="Arial" w:eastAsia="Arial" w:hAnsi="Arial"/>
                <w:b/>
                <w:bCs/>
                <w:color w:val="2980B9"/>
                <w:sz w:val="18"/>
                <w:szCs w:val="18"/>
              </w:rPr>
              <w:t xml:space="preserve">MEDIO</w:t>
            </w:r>
          </w:p>
        </w:tc>
        <w:tc>
          <w:tcPr>
            <w:tcW w:type="dxa" w:w="3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Usar el marginTarget para calcular el umbral de warning. Por ejemplo: si el margen real esta entre 0% y el 50% del targetMargin, mostrar warning. Esto hace la logica relativa al objetivo de cada producto en lugar de un umbral global del 8%.</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calculateFinancialMetrics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La funcion recibe currencySymbol como parametro pero la logica del signo negativo en profitLabel tiene una inconsistencia: usa `-${currencySymbol}${...}` manualmente en lugar de delegarlo al formateador.</w:t>
            </w:r>
          </w:p>
        </w:tc>
        <w:tc>
          <w:tcPr>
            <w:tcW w:type="dxa" w:w="14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pPr>
              <w:jc w:val="center"/>
            </w:pPr>
            <w:r>
              <w:rPr>
                <w:rFonts w:ascii="Arial" w:cs="Arial" w:eastAsia="Arial" w:hAnsi="Arial"/>
                <w:b/>
                <w:bCs/>
                <w:color w:val="27AE60"/>
                <w:sz w:val="18"/>
                <w:szCs w:val="18"/>
              </w:rPr>
              <w:t xml:space="preserve">BAJO</w:t>
            </w:r>
          </w:p>
        </w:tc>
        <w:tc>
          <w:tcPr>
            <w:tcW w:type="dxa" w:w="31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Considerar usar Intl.NumberFormat o una funcion helper de formateo consistente para todos los labels monetarios. Actualmente los labels en el Engine y en los otros motores usan .toLocaleString de forma inconsistente.</w:t>
            </w:r>
          </w:p>
        </w:tc>
      </w:tr>
    </w:tbl>
    <w:p>
      <w:pPr>
        <w:spacing w:before="0" w:after="240"/>
      </w:pPr>
      <w:r>
        <w:rPr>
          <w:sz w:val="22"/>
          <w:szCs w:val="22"/>
        </w:rPr>
        <w:t xml:space="preserve"/>
      </w:r>
    </w:p>
    <w:p>
      <w:r>
        <w:br w:type="page"/>
      </w:r>
    </w:p>
    <w:p>
      <w:pPr>
        <w:pStyle w:val="Heading1"/>
        <w:pBdr>
          <w:bottom w:val="single" w:color="0F3460" w:sz="8" w:space="4"/>
        </w:pBdr>
        <w:spacing w:before="360" w:after="120"/>
      </w:pPr>
      <w:r>
        <w:rPr>
          <w:rFonts w:ascii="Arial" w:cs="Arial" w:eastAsia="Arial" w:hAnsi="Arial"/>
          <w:b/>
          <w:bCs/>
          <w:color w:val="1A1A2E"/>
          <w:sz w:val="36"/>
          <w:szCs w:val="36"/>
        </w:rPr>
        <w:t xml:space="preserve">6. Problemas Transversales (Cross-Cutting)</w:t>
      </w:r>
    </w:p>
    <w:p>
      <w:pPr>
        <w:pStyle w:val="Heading2"/>
        <w:spacing w:before="280" w:after="80"/>
      </w:pPr>
      <w:r>
        <w:rPr>
          <w:rFonts w:ascii="Arial" w:cs="Arial" w:eastAsia="Arial" w:hAnsi="Arial"/>
          <w:b/>
          <w:bCs/>
          <w:color w:val="0F3460"/>
          <w:sz w:val="28"/>
          <w:szCs w:val="28"/>
        </w:rPr>
        <w:t xml:space="preserve">6.1 Duplicacion del helper currency</w:t>
      </w:r>
    </w:p>
    <w:p>
      <w:pPr>
        <w:spacing w:before="60" w:after="60"/>
      </w:pPr>
      <w:r>
        <w:rPr>
          <w:rFonts w:ascii="Arial" w:cs="Arial" w:eastAsia="Arial" w:hAnsi="Arial"/>
          <w:color w:val="2C3E50"/>
          <w:sz w:val="22"/>
          <w:szCs w:val="22"/>
        </w:rPr>
        <w:t xml:space="preserve">La funcion currency (formato de moneda) esta definida de forma identica en businessHealthEngine.ts, decisionEngine.ts y protectionEngine.ts. Esto viola el principio DRY y crea tres fuentes de mantenimiento.</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2"/>
              <w:left w:val="single" w:color="D5D8DC" w:sz="4"/>
              <w:bottom w:val="single" w:color="D5D8DC" w:sz="4"/>
              <w:right w:val="single" w:color="D5D8DC" w:sz="4"/>
            </w:tcBorders>
            <w:shd w:fill="FEF9E7" w:val="clear"/>
            <w:tcMar>
              <w:top w:type="dxa" w:w="120"/>
              <w:left w:type="dxa" w:w="200"/>
              <w:bottom w:type="dxa" w:w="120"/>
              <w:right w:type="dxa" w:w="200"/>
            </w:tcMar>
          </w:tcPr>
          <w:p>
            <w:r>
              <w:rPr>
                <w:rFonts w:ascii="Arial" w:cs="Arial" w:eastAsia="Arial" w:hAnsi="Arial"/>
                <w:b/>
                <w:bCs/>
                <w:color w:val="E67E22"/>
                <w:sz w:val="22"/>
                <w:szCs w:val="22"/>
              </w:rPr>
              <w:t xml:space="preserve">Accion Requerida</w:t>
            </w:r>
          </w:p>
          <w:p>
            <w:pPr>
              <w:spacing w:before="40"/>
            </w:pPr>
            <w:r>
              <w:rPr>
                <w:rFonts w:ascii="Arial" w:cs="Arial" w:eastAsia="Arial" w:hAnsi="Arial"/>
                <w:color w:val="2C3E50"/>
                <w:sz w:val="20"/>
                <w:szCs w:val="20"/>
              </w:rPr>
              <w:t xml:space="preserve">Extraer la funcion currency y pct a un archivo compartido: src/utils/formatters.ts</w:t>
            </w:r>
          </w:p>
          <w:p>
            <w:pPr>
              <w:spacing w:before="40"/>
            </w:pPr>
            <w:r>
              <w:rPr>
                <w:rFonts w:ascii="Arial" w:cs="Arial" w:eastAsia="Arial" w:hAnsi="Arial"/>
                <w:color w:val="2C3E50"/>
                <w:sz w:val="20"/>
                <w:szCs w:val="20"/>
              </w:rPr>
              <w:t xml:space="preserve">Importarla desde los tres motores. Esto garantiza que cualquier cambio de formato (ej: soporte multi-moneda) se aplica en un solo lugar.</w:t>
            </w:r>
          </w:p>
        </w:tc>
      </w:tr>
    </w:tbl>
    <w:p>
      <w:pPr>
        <w:spacing w:before="0" w:after="120"/>
      </w:pPr>
      <w:r>
        <w:rPr>
          <w:sz w:val="22"/>
          <w:szCs w:val="22"/>
        </w:rPr>
        <w:t xml:space="preserve"/>
      </w:r>
    </w:p>
    <w:p>
      <w:pPr>
        <w:pStyle w:val="Heading2"/>
        <w:spacing w:before="280" w:after="80"/>
      </w:pPr>
      <w:r>
        <w:rPr>
          <w:rFonts w:ascii="Arial" w:cs="Arial" w:eastAsia="Arial" w:hAnsi="Arial"/>
          <w:b/>
          <w:bCs/>
          <w:color w:val="0F3460"/>
          <w:sz w:val="28"/>
          <w:szCs w:val="28"/>
        </w:rPr>
        <w:t xml:space="preserve">6.2 Estimaciones hardcodeadas sin base de datos reales</w:t>
      </w:r>
    </w:p>
    <w:p>
      <w:pPr>
        <w:spacing w:before="60" w:after="60"/>
      </w:pPr>
      <w:r>
        <w:rPr>
          <w:rFonts w:ascii="Arial" w:cs="Arial" w:eastAsia="Arial" w:hAnsi="Arial"/>
          <w:color w:val="2C3E50"/>
          <w:sz w:val="22"/>
          <w:szCs w:val="22"/>
        </w:rPr>
        <w:t xml:space="preserve">Los factores 10, 15, 2, y 0.08 en decisionEngine y businessHealthEngine representan el mayor riesgo sistemico del APS. Las proyecciones de impacto monetario que ve el usuario en el Dashboard estan basadas en suposiciones arbitrarias, no en datos reales de ventas.</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D5D8DC" w:sz="4"/>
              <w:bottom w:val="single" w:color="D5D8DC" w:sz="4"/>
              <w:right w:val="single" w:color="D5D8DC" w:sz="4"/>
            </w:tcBorders>
            <w:shd w:fill="FDEDEC" w:val="clear"/>
            <w:tcMar>
              <w:top w:type="dxa" w:w="120"/>
              <w:left w:type="dxa" w:w="200"/>
              <w:bottom w:type="dxa" w:w="120"/>
              <w:right w:type="dxa" w:w="200"/>
            </w:tcMar>
          </w:tcPr>
          <w:p>
            <w:r>
              <w:rPr>
                <w:rFonts w:ascii="Arial" w:cs="Arial" w:eastAsia="Arial" w:hAnsi="Arial"/>
                <w:b/>
                <w:bCs/>
                <w:color w:val="C0392B"/>
                <w:sz w:val="22"/>
                <w:szCs w:val="22"/>
              </w:rPr>
              <w:t xml:space="preserve">Riesgo Critico del Negocio</w:t>
            </w:r>
          </w:p>
          <w:p>
            <w:pPr>
              <w:spacing w:before="40"/>
            </w:pPr>
            <w:r>
              <w:rPr>
                <w:rFonts w:ascii="Arial" w:cs="Arial" w:eastAsia="Arial" w:hAnsi="Arial"/>
                <w:color w:val="2C3E50"/>
                <w:sz w:val="20"/>
                <w:szCs w:val="20"/>
              </w:rPr>
              <w:t xml:space="preserve">Un usuario que ve "perdida proyectada de $2,400" puede tomar decisiones basadas en un numero calculado con 10 unidades arbitrarias.</w:t>
            </w:r>
          </w:p>
          <w:p>
            <w:pPr>
              <w:spacing w:before="40"/>
            </w:pPr>
            <w:r>
              <w:rPr>
                <w:rFonts w:ascii="Arial" w:cs="Arial" w:eastAsia="Arial" w:hAnsi="Arial"/>
                <w:color w:val="2C3E50"/>
                <w:sz w:val="20"/>
                <w:szCs w:val="20"/>
              </w:rPr>
              <w:t xml:space="preserve">Si el producto real tiene ventas de 200 unidades/mes, el impacto real es 20x mayor.</w:t>
            </w:r>
          </w:p>
          <w:p>
            <w:pPr>
              <w:spacing w:before="40"/>
            </w:pPr>
            <w:r>
              <w:rPr>
                <w:rFonts w:ascii="Arial" w:cs="Arial" w:eastAsia="Arial" w:hAnsi="Arial"/>
                <w:color w:val="2C3E50"/>
                <w:sz w:val="20"/>
                <w:szCs w:val="20"/>
              </w:rPr>
              <w:t xml:space="preserve">Solucion: incluir avgMonthlySales en los rawData de cada senal (calculado desde productMovements en businessHealthEngine) y usarlo en decisionEngine.</w:t>
            </w:r>
          </w:p>
        </w:tc>
      </w:tr>
    </w:tbl>
    <w:p>
      <w:pPr>
        <w:spacing w:before="0" w:after="120"/>
      </w:pPr>
      <w:r>
        <w:rPr>
          <w:sz w:val="22"/>
          <w:szCs w:val="22"/>
        </w:rPr>
        <w:t xml:space="preserve"/>
      </w:r>
    </w:p>
    <w:p>
      <w:pPr>
        <w:pStyle w:val="Heading2"/>
        <w:spacing w:before="280" w:after="80"/>
      </w:pPr>
      <w:r>
        <w:rPr>
          <w:rFonts w:ascii="Arial" w:cs="Arial" w:eastAsia="Arial" w:hAnsi="Arial"/>
          <w:b/>
          <w:bCs/>
          <w:color w:val="0F3460"/>
          <w:sz w:val="28"/>
          <w:szCs w:val="28"/>
        </w:rPr>
        <w:t xml:space="preserve">6.3 Ausencia de tests</w:t>
      </w:r>
    </w:p>
    <w:p>
      <w:pPr>
        <w:spacing w:before="60" w:after="60"/>
      </w:pPr>
      <w:r>
        <w:rPr>
          <w:rFonts w:ascii="Arial" w:cs="Arial" w:eastAsia="Arial" w:hAnsi="Arial"/>
          <w:color w:val="2C3E50"/>
          <w:sz w:val="22"/>
          <w:szCs w:val="22"/>
        </w:rPr>
        <w:t xml:space="preserve">Los cuatro motores son funciones puras deterministicas — la situacion ideal para unit testing. Sin embargo, no se observa evidencia de tests. Dado que estos motores toman decisiones financieras criticas, la ausencia de tests es un riesgo operacional alto.</w:t>
      </w:r>
    </w:p>
    <w:p>
      <w:pPr>
        <w:pStyle w:val="ListParagraph"/>
        <w:numPr>
          <w:ilvl w:val="0"/>
          <w:numId w:val="2"/>
        </w:numPr>
        <w:spacing w:before="40" w:after="40"/>
      </w:pPr>
      <w:r>
        <w:rPr>
          <w:rFonts w:ascii="Arial" w:cs="Arial" w:eastAsia="Arial" w:hAnsi="Arial"/>
          <w:color w:val="2C3E50"/>
          <w:sz w:val="22"/>
          <w:szCs w:val="22"/>
        </w:rPr>
        <w:t xml:space="preserve">Recomendacion: implementar vitest o jest con al menos los siguientes casos de test por motor:</w:t>
      </w:r>
    </w:p>
    <w:p>
      <w:pPr>
        <w:pStyle w:val="ListParagraph"/>
        <w:numPr>
          <w:ilvl w:val="0"/>
          <w:numId w:val="2"/>
        </w:numPr>
        <w:spacing w:before="40" w:after="40"/>
      </w:pPr>
      <w:r>
        <w:rPr>
          <w:rFonts w:ascii="Arial" w:cs="Arial" w:eastAsia="Arial" w:hAnsi="Arial"/>
          <w:color w:val="2C3E50"/>
          <w:sz w:val="22"/>
          <w:szCs w:val="22"/>
        </w:rPr>
        <w:t xml:space="preserve">businessHealthEngine: producto con precio &lt; costo, stock a 0 dias, deuda de inventario activa, negocio sin riesgos.</w:t>
      </w:r>
    </w:p>
    <w:p>
      <w:pPr>
        <w:pStyle w:val="ListParagraph"/>
        <w:numPr>
          <w:ilvl w:val="0"/>
          <w:numId w:val="2"/>
        </w:numPr>
        <w:spacing w:before="40" w:after="40"/>
      </w:pPr>
      <w:r>
        <w:rPr>
          <w:rFonts w:ascii="Arial" w:cs="Arial" w:eastAsia="Arial" w:hAnsi="Arial"/>
          <w:color w:val="2C3E50"/>
          <w:sz w:val="22"/>
          <w:szCs w:val="22"/>
        </w:rPr>
        <w:t xml:space="preserve">decisionEngine: verificar que netBenefit = actionScenario - inactionScenario, y que el sort es correcto.</w:t>
      </w:r>
    </w:p>
    <w:p>
      <w:pPr>
        <w:pStyle w:val="ListParagraph"/>
        <w:numPr>
          <w:ilvl w:val="0"/>
          <w:numId w:val="2"/>
        </w:numPr>
        <w:spacing w:before="40" w:after="40"/>
      </w:pPr>
      <w:r>
        <w:rPr>
          <w:rFonts w:ascii="Arial" w:cs="Arial" w:eastAsia="Arial" w:hAnsi="Arial"/>
          <w:color w:val="2C3E50"/>
          <w:sz w:val="22"/>
          <w:szCs w:val="22"/>
        </w:rPr>
        <w:t xml:space="preserve">financialMetricsEngine: marginTarget = 0, marginTarget &gt;= 1, price = 0, price &lt; cost, price = cost.</w:t>
      </w:r>
    </w:p>
    <w:p>
      <w:pPr>
        <w:spacing w:before="0" w:after="240"/>
      </w:pPr>
      <w:r>
        <w:rPr>
          <w:sz w:val="22"/>
          <w:szCs w:val="22"/>
        </w:rPr>
        <w:t xml:space="preserve"/>
      </w:r>
    </w:p>
    <w:p>
      <w:r>
        <w:br w:type="page"/>
      </w:r>
    </w:p>
    <w:p>
      <w:pPr>
        <w:pStyle w:val="Heading1"/>
        <w:pBdr>
          <w:bottom w:val="single" w:color="0F3460" w:sz="8" w:space="4"/>
        </w:pBdr>
        <w:spacing w:before="360" w:after="120"/>
      </w:pPr>
      <w:r>
        <w:rPr>
          <w:rFonts w:ascii="Arial" w:cs="Arial" w:eastAsia="Arial" w:hAnsi="Arial"/>
          <w:b/>
          <w:bCs/>
          <w:color w:val="1A1A2E"/>
          <w:sz w:val="36"/>
          <w:szCs w:val="36"/>
        </w:rPr>
        <w:t xml:space="preserve">7. Plan de Accion Priorizado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000"/>
        <w:gridCol w:w="2000"/>
      </w:tblGrid>
      <w:tr>
        <w:tc>
          <w:tcPr>
            <w:tcW w:type="dxa" w:w="8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456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Accion</w:t>
            </w:r>
          </w:p>
        </w:tc>
        <w:tc>
          <w:tcPr>
            <w:tcW w:type="dxa" w:w="20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Impacto</w:t>
            </w:r>
          </w:p>
        </w:tc>
        <w:tc>
          <w:tcPr>
            <w:tcW w:type="dxa" w:w="2000"/>
            <w:tcBorders>
              <w:top w:val="single" w:color="D5D8DC" w:sz="1"/>
              <w:left w:val="single" w:color="D5D8DC" w:sz="1"/>
              <w:bottom w:val="single" w:color="D5D8DC" w:sz="1"/>
              <w:right w:val="single" w:color="D5D8DC" w:sz="1"/>
            </w:tcBorders>
            <w:shd w:fill="1A1A2E" w:val="clear"/>
            <w:tcMar>
              <w:top w:type="dxa" w:w="100"/>
              <w:left w:type="dxa" w:w="160"/>
              <w:bottom w:type="dxa" w:w="100"/>
              <w:right w:type="dxa" w:w="160"/>
            </w:tcMar>
            <w:vAlign w:val="center"/>
          </w:tcPr>
          <w:p>
            <w:r>
              <w:rPr>
                <w:rFonts w:ascii="Arial" w:cs="Arial" w:eastAsia="Arial" w:hAnsi="Arial"/>
                <w:b/>
                <w:bCs/>
                <w:color w:val="FFFFFF"/>
                <w:sz w:val="20"/>
                <w:szCs w:val="20"/>
              </w:rPr>
              <w:t xml:space="preserve">Esfuerzo</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1</w:t>
            </w:r>
          </w:p>
        </w:tc>
        <w:tc>
          <w:tcPr>
            <w:tcW w:type="dxa" w:w="4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Incluir avgMonthlySales en rawData de senales para basar proyecciones en datos reales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CRITICO</w:t>
            </w:r>
          </w:p>
        </w:tc>
        <w:tc>
          <w:tcPr>
            <w:tcW w:type="dxa" w:w="2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Medio (2-4h)</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2</w:t>
            </w:r>
          </w:p>
        </w:tc>
        <w:tc>
          <w:tcPr>
            <w:tcW w:type="dxa" w:w="4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Agregar target_margin al tipo Product y eliminar los cast `as any`</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ALTO</w:t>
            </w:r>
          </w:p>
        </w:tc>
        <w:tc>
          <w:tcPr>
            <w:tcW w:type="dxa" w:w="2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Bajo (1h)</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3</w:t>
            </w:r>
          </w:p>
        </w:tc>
        <w:tc>
          <w:tcPr>
            <w:tcW w:type="dxa" w:w="4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Extraer funcion currency a src/utils/formatters.ts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MEDIO</w:t>
            </w:r>
          </w:p>
        </w:tc>
        <w:tc>
          <w:tcPr>
            <w:tcW w:type="dxa" w:w="2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Bajo (30min)</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4</w:t>
            </w:r>
          </w:p>
        </w:tc>
        <w:tc>
          <w:tcPr>
            <w:tcW w:type="dxa" w:w="4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Extraer magic numbers a constantes con documentacion</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MEDIO</w:t>
            </w:r>
          </w:p>
        </w:tc>
        <w:tc>
          <w:tcPr>
            <w:tcW w:type="dxa" w:w="2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Bajo (1h)</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5</w:t>
            </w:r>
          </w:p>
        </w:tc>
        <w:tc>
          <w:tcPr>
            <w:tcW w:type="dxa" w:w="4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Corregir projectedMarginIn7Days: 1 en stock_break action scenario</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ALTO</w:t>
            </w:r>
          </w:p>
        </w:tc>
        <w:tc>
          <w:tcPr>
            <w:tcW w:type="dxa" w:w="2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Bajo (30min)</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6</w:t>
            </w:r>
          </w:p>
        </w:tc>
        <w:tc>
          <w:tcPr>
            <w:tcW w:type="dxa" w:w="4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Agregar guard en calculateFinancialMetrics para marginTarget &gt;= 1</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MEDIO</w:t>
            </w:r>
          </w:p>
        </w:tc>
        <w:tc>
          <w:tcPr>
            <w:tcW w:type="dxa" w:w="2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Bajo (30min)</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7</w:t>
            </w:r>
          </w:p>
        </w:tc>
        <w:tc>
          <w:tcPr>
            <w:tcW w:type="dxa" w:w="4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Corregir mensaje CRITICO en executiveSummary (usa totalProtectedValue incorrectamente)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MEDIO</w:t>
            </w:r>
          </w:p>
        </w:tc>
        <w:tc>
          <w:tcPr>
            <w:tcW w:type="dxa" w:w="2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Bajo (30min)</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8</w:t>
            </w:r>
          </w:p>
        </w:tc>
        <w:tc>
          <w:tcPr>
            <w:tcW w:type="dxa" w:w="4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Eliminar primer sort en decisionEngine (dead code vs sort del protectionEngine)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BAJO</w:t>
            </w:r>
          </w:p>
        </w:tc>
        <w:tc>
          <w:tcPr>
            <w:tcW w:type="dxa" w:w="2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Bajo (15min)</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bCs/>
                <w:color w:val="0F3460"/>
                <w:sz w:val="20"/>
                <w:szCs w:val="20"/>
              </w:rPr>
              <w:t xml:space="preserve">9</w:t>
            </w:r>
          </w:p>
        </w:tc>
        <w:tc>
          <w:tcPr>
            <w:tcW w:type="dxa" w:w="4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Implementar tests unitarios para los 4 motores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ALTO</w:t>
            </w:r>
          </w:p>
        </w:tc>
        <w:tc>
          <w:tcPr>
            <w:tcW w:type="dxa" w:w="2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Alto (1-2 dias)</w:t>
            </w:r>
          </w:p>
        </w:tc>
      </w:tr>
      <w:tr>
        <w:tc>
          <w:tcPr>
            <w:tcW w:type="dxa" w:w="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bCs/>
                <w:color w:val="0F3460"/>
                <w:sz w:val="20"/>
                <w:szCs w:val="20"/>
              </w:rPr>
              <w:t xml:space="preserve">10</w:t>
            </w:r>
          </w:p>
        </w:tc>
        <w:tc>
          <w:tcPr>
            <w:tcW w:type="dxa" w:w="4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Auditar campo reference en StockMovement para validar logica de dependentProductIds</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ALTO</w:t>
            </w:r>
          </w:p>
        </w:tc>
        <w:tc>
          <w:tcPr>
            <w:tcW w:type="dxa" w:w="2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vAlign w:val="center"/>
          </w:tcPr>
          <w:p>
            <w:r>
              <w:rPr>
                <w:rFonts w:ascii="Arial" w:cs="Arial" w:eastAsia="Arial" w:hAnsi="Arial"/>
                <w:b w:val="false"/>
                <w:bCs w:val="false"/>
                <w:color w:val="2C3E50"/>
                <w:sz w:val="20"/>
                <w:szCs w:val="20"/>
              </w:rPr>
              <w:t xml:space="preserve">Medio (2h)</w:t>
            </w:r>
          </w:p>
        </w:tc>
      </w:tr>
    </w:tbl>
    <w:p>
      <w:pPr>
        <w:spacing w:before="0" w:after="240"/>
      </w:pPr>
      <w:r>
        <w:rPr>
          <w:sz w:val="22"/>
          <w:szCs w:val="22"/>
        </w:rPr>
        <w:t xml:space="preserve"/>
      </w:r>
    </w:p>
    <w:p>
      <w:r>
        <w:br w:type="page"/>
      </w:r>
    </w:p>
    <w:p>
      <w:pPr>
        <w:pStyle w:val="Heading1"/>
        <w:pBdr>
          <w:bottom w:val="single" w:color="0F3460" w:sz="8" w:space="4"/>
        </w:pBdr>
        <w:spacing w:before="360" w:after="120"/>
      </w:pPr>
      <w:r>
        <w:rPr>
          <w:rFonts w:ascii="Arial" w:cs="Arial" w:eastAsia="Arial" w:hAnsi="Arial"/>
          <w:b/>
          <w:bCs/>
          <w:color w:val="1A1A2E"/>
          <w:sz w:val="36"/>
          <w:szCs w:val="36"/>
        </w:rPr>
        <w:t xml:space="preserve">8. Conclusion</w:t>
      </w:r>
    </w:p>
    <w:p>
      <w:pPr>
        <w:spacing w:before="60" w:after="60"/>
      </w:pPr>
      <w:r>
        <w:rPr>
          <w:rFonts w:ascii="Arial" w:cs="Arial" w:eastAsia="Arial" w:hAnsi="Arial"/>
          <w:color w:val="2C3E50"/>
          <w:sz w:val="22"/>
          <w:szCs w:val="22"/>
        </w:rPr>
        <w:t xml:space="preserve">El Active Protection System de BETO OS esta bien concebido arquitectonicamente. La separacion en tres capas (Health / Decision / Protection) es correcta y escalable. Los motores son deterministas y testeables por diseno.</w:t>
      </w:r>
    </w:p>
    <w:p>
      <w:pPr>
        <w:spacing w:before="0" w:after="120"/>
      </w:pPr>
      <w:r>
        <w:rPr>
          <w:sz w:val="22"/>
          <w:szCs w:val="22"/>
        </w:rPr>
        <w:t xml:space="preserve"/>
      </w:r>
    </w:p>
    <w:p>
      <w:pPr>
        <w:spacing w:before="60" w:after="60"/>
      </w:pPr>
      <w:r>
        <w:rPr>
          <w:rFonts w:ascii="Arial" w:cs="Arial" w:eastAsia="Arial" w:hAnsi="Arial"/>
          <w:color w:val="2C3E50"/>
          <w:sz w:val="22"/>
          <w:szCs w:val="22"/>
        </w:rPr>
        <w:t xml:space="preserve">Los riesgos mas importantes no son de arquitectura sino de precision financiera: las proyecciones de impacto monetario que el usuario visualiza en el Dashboard estan actualmente basadas en estimaciones arbitrarias (10 unidades, 15 unidades, factor x2) en lugar de datos reales de ventas. Esto es el hallazgo de mayor prioridad.</w:t>
      </w:r>
    </w:p>
    <w:p>
      <w:pPr>
        <w:spacing w:before="0" w:after="120"/>
      </w:pPr>
      <w:r>
        <w:rPr>
          <w:sz w:val="22"/>
          <w:szCs w:val="22"/>
        </w:rPr>
        <w:t xml:space="preserve"/>
      </w:r>
    </w:p>
    <w:p>
      <w:pPr>
        <w:spacing w:before="60" w:after="60"/>
      </w:pPr>
      <w:r>
        <w:rPr>
          <w:rFonts w:ascii="Arial" w:cs="Arial" w:eastAsia="Arial" w:hAnsi="Arial"/>
          <w:color w:val="2C3E50"/>
          <w:sz w:val="22"/>
          <w:szCs w:val="22"/>
        </w:rPr>
        <w:t xml:space="preserve">Con las 10 acciones priorizadas en la Seccion 7, el sistema pasara de ser un motor de estimaciones razonables a un motor de precision financiera real — que es el estandar que BETO OS promete como "Single Ledger".</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2"/>
              <w:left w:val="single" w:color="D5D8DC" w:sz="4"/>
              <w:bottom w:val="single" w:color="D5D8DC" w:sz="4"/>
              <w:right w:val="single" w:color="D5D8DC" w:sz="4"/>
            </w:tcBorders>
            <w:shd w:fill="EAFAF1" w:val="clear"/>
            <w:tcMar>
              <w:top w:type="dxa" w:w="120"/>
              <w:left w:type="dxa" w:w="200"/>
              <w:bottom w:type="dxa" w:w="120"/>
              <w:right w:type="dxa" w:w="200"/>
            </w:tcMar>
          </w:tcPr>
          <w:p>
            <w:r>
              <w:rPr>
                <w:rFonts w:ascii="Arial" w:cs="Arial" w:eastAsia="Arial" w:hAnsi="Arial"/>
                <w:b/>
                <w:bCs/>
                <w:color w:val="27AE60"/>
                <w:sz w:val="22"/>
                <w:szCs w:val="22"/>
              </w:rPr>
              <w:t xml:space="preserve">Veredicto Final</w:t>
            </w:r>
          </w:p>
          <w:p>
            <w:pPr>
              <w:spacing w:before="40"/>
            </w:pPr>
            <w:r>
              <w:rPr>
                <w:rFonts w:ascii="Arial" w:cs="Arial" w:eastAsia="Arial" w:hAnsi="Arial"/>
                <w:color w:val="2C3E50"/>
                <w:sz w:val="20"/>
                <w:szCs w:val="20"/>
              </w:rPr>
              <w:t xml:space="preserve">Arquitectura: SOLIDA</w:t>
            </w:r>
          </w:p>
          <w:p>
            <w:pPr>
              <w:spacing w:before="40"/>
            </w:pPr>
            <w:r>
              <w:rPr>
                <w:rFonts w:ascii="Arial" w:cs="Arial" w:eastAsia="Arial" w:hAnsi="Arial"/>
                <w:color w:val="2C3E50"/>
                <w:sz w:val="20"/>
                <w:szCs w:val="20"/>
              </w:rPr>
              <w:t xml:space="preserve">Logica de negocio: BUENA con riesgos de precision identificados</w:t>
            </w:r>
          </w:p>
          <w:p>
            <w:pPr>
              <w:spacing w:before="40"/>
            </w:pPr>
            <w:r>
              <w:rPr>
                <w:rFonts w:ascii="Arial" w:cs="Arial" w:eastAsia="Arial" w:hAnsi="Arial"/>
                <w:color w:val="2C3E50"/>
                <w:sz w:val="20"/>
                <w:szCs w:val="20"/>
              </w:rPr>
              <w:t xml:space="preserve">Calidad del codigo: MEJORABLE (magic numbers, DRY violations, sin tests)</w:t>
            </w:r>
          </w:p>
          <w:p>
            <w:pPr>
              <w:spacing w:before="40"/>
            </w:pPr>
            <w:r>
              <w:rPr>
                <w:rFonts w:ascii="Arial" w:cs="Arial" w:eastAsia="Arial" w:hAnsi="Arial"/>
                <w:color w:val="2C3E50"/>
                <w:sz w:val="20"/>
                <w:szCs w:val="20"/>
              </w:rPr>
              <w:t xml:space="preserve">Riesgo operacional: MEDIO — corregible con las acciones priorizadas</w:t>
            </w:r>
          </w:p>
        </w:tc>
      </w:tr>
    </w:tbl>
    <w:p>
      <w:pPr>
        <w:spacing w:before="0" w:after="120"/>
      </w:pPr>
      <w:r>
        <w:rPr>
          <w:sz w:val="22"/>
          <w:szCs w:val="22"/>
        </w:rPr>
        <w:t xml:space="preserve"/>
      </w:r>
    </w:p>
    <w:p>
      <w:pPr>
        <w:spacing w:before="240"/>
        <w:jc w:val="center"/>
      </w:pPr>
      <w:r>
        <w:rPr>
          <w:rFonts w:ascii="Arial" w:cs="Arial" w:eastAsia="Arial" w:hAnsi="Arial"/>
          <w:i/>
          <w:iCs/>
          <w:color w:val="7F8C8D"/>
          <w:sz w:val="18"/>
          <w:szCs w:val="18"/>
        </w:rPr>
        <w:t xml:space="preserve">Auditoria realizada por Claude AI — BETO OS v3.0 — Marzo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2026-03-06T01:19:56.304Z</dcterms:created>
  <dcterms:modified xsi:type="dcterms:W3CDTF">2026-03-06T01:19:56.305Z</dcterms:modified>
</cp:coreProperties>
</file>

<file path=docProps/custom.xml><?xml version="1.0" encoding="utf-8"?>
<Properties xmlns="http://schemas.openxmlformats.org/officeDocument/2006/custom-properties" xmlns:vt="http://schemas.openxmlformats.org/officeDocument/2006/docPropsVTypes"/>
</file>