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2E74B5"/>
          <w:sz w:val="20"/>
        </w:rPr>
        <w:t>PRODUCT REQUIREMENTS DOCUMENT</w:t>
      </w:r>
    </w:p>
    <w:p>
      <w:pPr>
        <w:spacing w:before="0" w:after="100"/>
      </w:pPr>
      <w:r>
        <w:rPr>
          <w:rFonts w:ascii="Calibri" w:hAnsi="Calibri"/>
          <w:b/>
          <w:color w:val="17365D"/>
          <w:sz w:val="50"/>
        </w:rPr>
        <w:t>Sistema de Control de</w:t>
        <w:br/>
        <w:t>Proyectos y Releases</w:t>
      </w:r>
    </w:p>
    <w:p>
      <w:pPr>
        <w:spacing w:after="320"/>
      </w:pPr>
      <w:r>
        <w:rPr>
          <w:rFonts w:ascii="Calibri" w:hAnsi="Calibri"/>
          <w:color w:val="667085"/>
          <w:sz w:val="28"/>
        </w:rPr>
        <w:t>MVP local · Angular + Laravel + MySQL</w:t>
      </w:r>
    </w:p>
    <w:p>
      <w:pPr>
        <w:spacing w:before="0" w:after="40" w:line="252" w:lineRule="auto"/>
      </w:pPr>
      <w:r>
        <w:rPr>
          <w:rFonts w:ascii="Calibri" w:hAnsi="Calibri"/>
          <w:b/>
          <w:color w:val="243447"/>
          <w:sz w:val="21"/>
        </w:rPr>
        <w:t xml:space="preserve">Propietario: </w:t>
      </w:r>
      <w:r>
        <w:rPr>
          <w:rFonts w:ascii="Calibri" w:hAnsi="Calibri"/>
          <w:color w:val="243447"/>
          <w:sz w:val="21"/>
        </w:rPr>
        <w:t>Jhon</w:t>
      </w:r>
    </w:p>
    <w:p>
      <w:pPr>
        <w:spacing w:before="0" w:after="40" w:line="252" w:lineRule="auto"/>
      </w:pPr>
      <w:r>
        <w:rPr>
          <w:rFonts w:ascii="Calibri" w:hAnsi="Calibri"/>
          <w:b/>
          <w:color w:val="243447"/>
          <w:sz w:val="21"/>
        </w:rPr>
        <w:t xml:space="preserve">Estado: </w:t>
      </w:r>
      <w:r>
        <w:rPr>
          <w:rFonts w:ascii="Calibri" w:hAnsi="Calibri"/>
          <w:color w:val="243447"/>
          <w:sz w:val="21"/>
        </w:rPr>
        <w:t>Borrador para revisión</w:t>
      </w:r>
    </w:p>
    <w:p>
      <w:pPr>
        <w:spacing w:before="0" w:after="40" w:line="252" w:lineRule="auto"/>
      </w:pPr>
      <w:r>
        <w:rPr>
          <w:rFonts w:ascii="Calibri" w:hAnsi="Calibri"/>
          <w:b/>
          <w:color w:val="243447"/>
          <w:sz w:val="21"/>
        </w:rPr>
        <w:t xml:space="preserve">Versión: </w:t>
      </w:r>
      <w:r>
        <w:rPr>
          <w:rFonts w:ascii="Calibri" w:hAnsi="Calibri"/>
          <w:color w:val="243447"/>
          <w:sz w:val="21"/>
        </w:rPr>
        <w:t>0.1</w:t>
      </w:r>
    </w:p>
    <w:p>
      <w:pPr>
        <w:spacing w:before="0" w:after="40" w:line="252" w:lineRule="auto"/>
      </w:pPr>
      <w:r>
        <w:rPr>
          <w:rFonts w:ascii="Calibri" w:hAnsi="Calibri"/>
          <w:b/>
          <w:color w:val="243447"/>
          <w:sz w:val="21"/>
        </w:rPr>
        <w:t xml:space="preserve">Fecha: </w:t>
      </w:r>
      <w:r>
        <w:rPr>
          <w:rFonts w:ascii="Calibri" w:hAnsi="Calibri"/>
          <w:color w:val="243447"/>
          <w:sz w:val="21"/>
        </w:rPr>
        <w:t>14 de agosto de 2026</w:t>
      </w:r>
    </w:p>
    <w:p>
      <w:pPr>
        <w:spacing w:before="0" w:after="40" w:line="252" w:lineRule="auto"/>
      </w:pPr>
      <w:r>
        <w:rPr>
          <w:rFonts w:ascii="Calibri" w:hAnsi="Calibri"/>
          <w:b/>
          <w:color w:val="243447"/>
          <w:sz w:val="21"/>
        </w:rPr>
        <w:t xml:space="preserve">Piloto inicial: </w:t>
      </w:r>
      <w:r>
        <w:rPr>
          <w:rFonts w:ascii="Calibri" w:hAnsi="Calibri"/>
          <w:color w:val="243447"/>
          <w:sz w:val="21"/>
        </w:rPr>
        <w:t>Reports</w:t>
      </w:r>
    </w:p>
    <w:p>
      <w:pPr>
        <w:spacing w:before="200" w:after="280"/>
        <w:pBdr>
          <w:bottom w:val="single" w:sz="14" w:space="6" w:color="2E74B5"/>
        </w:pBdr>
      </w:pPr>
    </w:p>
    <w:p>
      <w:pPr>
        <w:pStyle w:val="Callout"/>
        <w:shd w:fill="EAF2F8"/>
        <w:pBdr>
          <w:left w:val="single" w:sz="18" w:space="8" w:color="2E74B5"/>
        </w:pBdr>
      </w:pPr>
      <w:r>
        <w:rPr>
          <w:rFonts w:ascii="Calibri" w:hAnsi="Calibri"/>
          <w:b/>
          <w:color w:val="17365D"/>
        </w:rPr>
        <w:t xml:space="preserve">DECISIÓN PROPUESTA  </w:t>
      </w:r>
      <w:r>
        <w:rPr>
          <w:rFonts w:ascii="Calibri" w:hAnsi="Calibri"/>
          <w:color w:val="243447"/>
        </w:rPr>
        <w:t>Construir un MVP local y de un solo usuario que sustituya el control informal por una fuente estructurada de verdad. Reports será el piloto; el diseño deberá admitir después AdminAPI, Dashboard, Invoicing y Fintrac sin rehacer el modelo de datos.</w:t>
      </w:r>
    </w:p>
    <w:p>
      <w:pPr>
        <w:pStyle w:val="BodyText"/>
      </w:pPr>
      <w:r>
        <w:rPr>
          <w:rFonts w:ascii="Calibri" w:hAnsi="Calibri"/>
          <w:i w:val="0"/>
          <w:color w:val="243447"/>
        </w:rPr>
        <w:t>Este PRD define qué debe resolver la primera versión, cómo se validará y qué se pospone. No es un diseño técnico detallado ni una autorización para iniciar desarrollo sin revisar las preguntas abiertas.</w:t>
      </w:r>
    </w:p>
    <w:p>
      <w:pPr>
        <w:pStyle w:val="Heading2"/>
      </w:pPr>
      <w:r>
        <w:t>Lectura rápida</w:t>
      </w:r>
    </w:p>
    <w:p>
      <w:pPr>
        <w:pStyle w:val="BodyText"/>
        <w:numPr>
          <w:ilvl w:val="0"/>
          <w:numId w:val="91"/>
        </w:numPr>
      </w:pPr>
      <w:r>
        <w:rPr>
          <w:rFonts w:ascii="Calibri" w:hAnsi="Calibri"/>
          <w:color w:val="243447"/>
        </w:rPr>
        <w:t>Problema: no existe un registro central confiable del estado de módulos, releases, ambientes, activación de clientes y seguimientos.</w:t>
      </w:r>
    </w:p>
    <w:p>
      <w:pPr>
        <w:pStyle w:val="BodyText"/>
        <w:numPr>
          <w:ilvl w:val="0"/>
          <w:numId w:val="91"/>
        </w:numPr>
      </w:pPr>
      <w:r>
        <w:rPr>
          <w:rFonts w:ascii="Calibri" w:hAnsi="Calibri"/>
          <w:color w:val="243447"/>
        </w:rPr>
        <w:t>Solución MVP: aplicación web local con dashboard, proyectos, módulos, releases, seguimiento por ambiente, acciones pendientes e historial.</w:t>
      </w:r>
    </w:p>
    <w:p>
      <w:pPr>
        <w:pStyle w:val="BodyText"/>
        <w:numPr>
          <w:ilvl w:val="0"/>
          <w:numId w:val="91"/>
        </w:numPr>
      </w:pPr>
      <w:r>
        <w:rPr>
          <w:rFonts w:ascii="Calibri" w:hAnsi="Calibri"/>
          <w:color w:val="243447"/>
        </w:rPr>
        <w:t>Límite principal: el MVP no será colaborativo ni estará disponible cuando la máquina esté apagada.</w:t>
      </w:r>
    </w:p>
    <w:p>
      <w:pPr>
        <w:pStyle w:val="BodyText"/>
        <w:numPr>
          <w:ilvl w:val="0"/>
          <w:numId w:val="91"/>
        </w:numPr>
      </w:pPr>
      <w:r>
        <w:rPr>
          <w:rFonts w:ascii="Calibri" w:hAnsi="Calibri"/>
          <w:color w:val="243447"/>
        </w:rPr>
        <w:t>Exclusión explícita: Remittances pertenece a otro proyecto y no se cargará en este MVP.</w:t>
      </w:r>
    </w:p>
    <w:p>
      <w:r>
        <w:br w:type="page"/>
      </w:r>
    </w:p>
    <w:p>
      <w:pPr>
        <w:pStyle w:val="Heading1"/>
      </w:pPr>
      <w:r>
        <w:t>1. Control del documento</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300"/>
        <w:gridCol w:w="7060"/>
      </w:tblGrid>
      <w:tr>
        <w:trPr>
          <w:tblHeader w:val="true"/>
        </w:trPr>
        <w:tc>
          <w:tcPr>
            <w:tcW w:type="dxa" w:w="23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9"/>
              </w:rPr>
              <w:t>Campo</w:t>
            </w:r>
          </w:p>
        </w:tc>
        <w:tc>
          <w:tcPr>
            <w:tcW w:type="dxa" w:w="70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9"/>
              </w:rPr>
              <w:t>Definición</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color w:val="243447"/>
                <w:sz w:val="19"/>
              </w:rPr>
              <w:t>Nombre del producto</w:t>
            </w:r>
          </w:p>
        </w:tc>
        <w:tc>
          <w:tcPr>
            <w:tcW w:type="dxa" w:w="7060"/>
            <w:tcMar>
              <w:top w:w="80" w:type="dxa"/>
              <w:start w:w="120" w:type="dxa"/>
              <w:bottom w:w="80" w:type="dxa"/>
              <w:end w:w="120" w:type="dxa"/>
            </w:tcMar>
            <w:vAlign w:val="center"/>
          </w:tcPr>
          <w:p>
            <w:pPr>
              <w:spacing w:before="0" w:after="0" w:line="252" w:lineRule="auto"/>
              <w:jc w:val="left"/>
            </w:pPr>
            <w:r>
              <w:rPr>
                <w:rFonts w:ascii="Calibri" w:hAnsi="Calibri"/>
                <w:color w:val="243447"/>
                <w:sz w:val="19"/>
              </w:rPr>
              <w:t>Sistema de Control de Proyectos y Releases</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color w:val="243447"/>
                <w:sz w:val="19"/>
              </w:rPr>
              <w:t>Tipo de documento</w:t>
            </w:r>
          </w:p>
        </w:tc>
        <w:tc>
          <w:tcPr>
            <w:tcW w:type="dxa" w:w="7060"/>
            <w:tcMar>
              <w:top w:w="80" w:type="dxa"/>
              <w:start w:w="120" w:type="dxa"/>
              <w:bottom w:w="80" w:type="dxa"/>
              <w:end w:w="120" w:type="dxa"/>
            </w:tcMar>
            <w:vAlign w:val="center"/>
          </w:tcPr>
          <w:p>
            <w:pPr>
              <w:spacing w:before="0" w:after="0" w:line="252" w:lineRule="auto"/>
              <w:jc w:val="left"/>
            </w:pPr>
            <w:r>
              <w:rPr>
                <w:rFonts w:ascii="Calibri" w:hAnsi="Calibri"/>
                <w:color w:val="243447"/>
                <w:sz w:val="19"/>
              </w:rPr>
              <w:t>PRD — Product Requirements Document</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color w:val="243447"/>
                <w:sz w:val="19"/>
              </w:rPr>
              <w:t>Versión / estado</w:t>
            </w:r>
          </w:p>
        </w:tc>
        <w:tc>
          <w:tcPr>
            <w:tcW w:type="dxa" w:w="7060"/>
            <w:tcMar>
              <w:top w:w="80" w:type="dxa"/>
              <w:start w:w="120" w:type="dxa"/>
              <w:bottom w:w="80" w:type="dxa"/>
              <w:end w:w="120" w:type="dxa"/>
            </w:tcMar>
            <w:vAlign w:val="center"/>
          </w:tcPr>
          <w:p>
            <w:pPr>
              <w:spacing w:before="0" w:after="0" w:line="252" w:lineRule="auto"/>
              <w:jc w:val="left"/>
            </w:pPr>
            <w:r>
              <w:rPr>
                <w:rFonts w:ascii="Calibri" w:hAnsi="Calibri"/>
                <w:color w:val="243447"/>
                <w:sz w:val="19"/>
              </w:rPr>
              <w:t>0.1 / Borrador para revisión</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color w:val="243447"/>
                <w:sz w:val="19"/>
              </w:rPr>
              <w:t>Propietario del producto</w:t>
            </w:r>
          </w:p>
        </w:tc>
        <w:tc>
          <w:tcPr>
            <w:tcW w:type="dxa" w:w="7060"/>
            <w:tcMar>
              <w:top w:w="80" w:type="dxa"/>
              <w:start w:w="120" w:type="dxa"/>
              <w:bottom w:w="80" w:type="dxa"/>
              <w:end w:w="120" w:type="dxa"/>
            </w:tcMar>
            <w:vAlign w:val="center"/>
          </w:tcPr>
          <w:p>
            <w:pPr>
              <w:spacing w:before="0" w:after="0" w:line="252" w:lineRule="auto"/>
              <w:jc w:val="left"/>
            </w:pPr>
            <w:r>
              <w:rPr>
                <w:rFonts w:ascii="Calibri" w:hAnsi="Calibri"/>
                <w:color w:val="243447"/>
                <w:sz w:val="19"/>
              </w:rPr>
              <w:t>Jhon</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color w:val="243447"/>
                <w:sz w:val="19"/>
              </w:rPr>
              <w:t>Usuario inicial</w:t>
            </w:r>
          </w:p>
        </w:tc>
        <w:tc>
          <w:tcPr>
            <w:tcW w:type="dxa" w:w="7060"/>
            <w:tcMar>
              <w:top w:w="80" w:type="dxa"/>
              <w:start w:w="120" w:type="dxa"/>
              <w:bottom w:w="80" w:type="dxa"/>
              <w:end w:w="120" w:type="dxa"/>
            </w:tcMar>
            <w:vAlign w:val="center"/>
          </w:tcPr>
          <w:p>
            <w:pPr>
              <w:spacing w:before="0" w:after="0" w:line="252" w:lineRule="auto"/>
              <w:jc w:val="left"/>
            </w:pPr>
            <w:r>
              <w:rPr>
                <w:rFonts w:ascii="Calibri" w:hAnsi="Calibri"/>
                <w:color w:val="243447"/>
                <w:sz w:val="19"/>
              </w:rPr>
              <w:t>Jhon, operación local y de un solo usuario</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color w:val="243447"/>
                <w:sz w:val="19"/>
              </w:rPr>
              <w:t>Tecnología objetivo</w:t>
            </w:r>
          </w:p>
        </w:tc>
        <w:tc>
          <w:tcPr>
            <w:tcW w:type="dxa" w:w="7060"/>
            <w:tcMar>
              <w:top w:w="80" w:type="dxa"/>
              <w:start w:w="120" w:type="dxa"/>
              <w:bottom w:w="80" w:type="dxa"/>
              <w:end w:w="120" w:type="dxa"/>
            </w:tcMar>
            <w:vAlign w:val="center"/>
          </w:tcPr>
          <w:p>
            <w:pPr>
              <w:spacing w:before="0" w:after="0" w:line="252" w:lineRule="auto"/>
              <w:jc w:val="left"/>
            </w:pPr>
            <w:r>
              <w:rPr>
                <w:rFonts w:ascii="Calibri" w:hAnsi="Calibri"/>
                <w:color w:val="243447"/>
                <w:sz w:val="19"/>
              </w:rPr>
              <w:t>Angular, Laravel y MySQL, instalados localmente</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color w:val="243447"/>
                <w:sz w:val="19"/>
              </w:rPr>
              <w:t>Fuente de verdad inicial</w:t>
            </w:r>
          </w:p>
        </w:tc>
        <w:tc>
          <w:tcPr>
            <w:tcW w:type="dxa" w:w="7060"/>
            <w:tcMar>
              <w:top w:w="80" w:type="dxa"/>
              <w:start w:w="120" w:type="dxa"/>
              <w:bottom w:w="80" w:type="dxa"/>
              <w:end w:w="120" w:type="dxa"/>
            </w:tcMar>
            <w:vAlign w:val="center"/>
          </w:tcPr>
          <w:p>
            <w:pPr>
              <w:spacing w:before="0" w:after="0" w:line="252" w:lineRule="auto"/>
              <w:jc w:val="left"/>
            </w:pPr>
            <w:r>
              <w:rPr>
                <w:rFonts w:ascii="Calibri" w:hAnsi="Calibri"/>
                <w:color w:val="243447"/>
                <w:sz w:val="19"/>
              </w:rPr>
              <w:t>Datos semilla de Reports, validados contra la matriz y reuniones del 7 de agosto de 2026</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color w:val="243447"/>
                <w:sz w:val="19"/>
              </w:rPr>
              <w:t>Proyectos futuros</w:t>
            </w:r>
          </w:p>
        </w:tc>
        <w:tc>
          <w:tcPr>
            <w:tcW w:type="dxa" w:w="7060"/>
            <w:tcMar>
              <w:top w:w="80" w:type="dxa"/>
              <w:start w:w="120" w:type="dxa"/>
              <w:bottom w:w="80" w:type="dxa"/>
              <w:end w:w="120" w:type="dxa"/>
            </w:tcMar>
            <w:vAlign w:val="center"/>
          </w:tcPr>
          <w:p>
            <w:pPr>
              <w:spacing w:before="0" w:after="0" w:line="252" w:lineRule="auto"/>
              <w:jc w:val="left"/>
            </w:pPr>
            <w:r>
              <w:rPr>
                <w:rFonts w:ascii="Calibri" w:hAnsi="Calibri"/>
                <w:color w:val="243447"/>
                <w:sz w:val="19"/>
              </w:rPr>
              <w:t>AdminAPI, Dashboard, Invoicing y Fintrac</w:t>
            </w:r>
          </w:p>
        </w:tc>
      </w:tr>
    </w:tbl>
    <w:p>
      <w:pPr>
        <w:spacing w:after="0"/>
      </w:pPr>
    </w:p>
    <w:p>
      <w:pPr>
        <w:pStyle w:val="Heading2"/>
      </w:pPr>
      <w:r>
        <w:t>1.1 Fuentes utilizadas</w:t>
      </w:r>
    </w:p>
    <w:p>
      <w:pPr>
        <w:pStyle w:val="BodyText"/>
        <w:numPr>
          <w:ilvl w:val="0"/>
          <w:numId w:val="91"/>
        </w:numPr>
      </w:pPr>
      <w:r>
        <w:rPr>
          <w:rFonts w:ascii="Calibri" w:hAnsi="Calibri"/>
          <w:color w:val="243447"/>
        </w:rPr>
        <w:t>Matriz inicial de estado por ambientes: MOJA, TATU, SITA y Production.</w:t>
      </w:r>
    </w:p>
    <w:p>
      <w:pPr>
        <w:pStyle w:val="BodyText"/>
        <w:numPr>
          <w:ilvl w:val="0"/>
          <w:numId w:val="91"/>
        </w:numPr>
      </w:pPr>
      <w:r>
        <w:rPr>
          <w:rFonts w:ascii="Calibri" w:hAnsi="Calibri"/>
          <w:color w:val="243447"/>
        </w:rPr>
        <w:t>Transcripciones “ReportsReleaseStatus” y “ReportsReleaseStatus 02”, del 7 de agosto de 2026.</w:t>
      </w:r>
    </w:p>
    <w:p>
      <w:pPr>
        <w:pStyle w:val="BodyText"/>
        <w:numPr>
          <w:ilvl w:val="0"/>
          <w:numId w:val="91"/>
        </w:numPr>
      </w:pPr>
      <w:r>
        <w:rPr>
          <w:rFonts w:ascii="Calibri" w:hAnsi="Calibri"/>
          <w:color w:val="243447"/>
        </w:rPr>
        <w:t>Archivo de control “Reports_Release_Control.xlsx”, preparado como baseline operativa.</w:t>
      </w:r>
    </w:p>
    <w:p>
      <w:pPr>
        <w:pStyle w:val="BodyText"/>
        <w:numPr>
          <w:ilvl w:val="0"/>
          <w:numId w:val="91"/>
        </w:numPr>
      </w:pPr>
      <w:r>
        <w:rPr>
          <w:rFonts w:ascii="Calibri" w:hAnsi="Calibri"/>
          <w:color w:val="243447"/>
        </w:rPr>
        <w:t>Decisiones y restricciones acordadas en la conversación de descubrimiento.</w:t>
      </w:r>
    </w:p>
    <w:p>
      <w:pPr>
        <w:pStyle w:val="Callout"/>
        <w:shd w:fill="FFF4CC"/>
        <w:pBdr>
          <w:left w:val="single" w:sz="18" w:space="8" w:color="B7791F"/>
        </w:pBdr>
      </w:pPr>
      <w:r>
        <w:rPr>
          <w:rFonts w:ascii="Calibri" w:hAnsi="Calibri"/>
          <w:b/>
          <w:color w:val="17365D"/>
        </w:rPr>
        <w:t xml:space="preserve">NOTA DE CALIDAD  </w:t>
      </w:r>
      <w:r>
        <w:rPr>
          <w:rFonts w:ascii="Calibri" w:hAnsi="Calibri"/>
          <w:color w:val="243447"/>
        </w:rPr>
        <w:t>La transcripción contiene nombres y términos reconocidos fonéticamente. Toda referencia a responsables, tickets y fechas debe validarse antes de considerarse dato definitivo.</w:t>
      </w:r>
    </w:p>
    <w:p>
      <w:pPr>
        <w:pStyle w:val="Heading1"/>
      </w:pPr>
      <w:r>
        <w:t>2. Resumen ejecutivo</w:t>
      </w:r>
    </w:p>
    <w:p>
      <w:pPr>
        <w:pStyle w:val="BodyText"/>
      </w:pPr>
      <w:r>
        <w:rPr>
          <w:rFonts w:ascii="Calibri" w:hAnsi="Calibri"/>
          <w:i w:val="0"/>
          <w:color w:val="243447"/>
        </w:rPr>
        <w:t>El seguimiento actual de Reports depende de una matriz que indica si un tema está o no en cada ambiente. La matriz es útil como fotografía, pero no conserva quién confirmó el dato, cuándo se verificó, cuál es el siguiente paso, si existe un bloqueo, ni si una funcionalidad desplegada en producción fue realmente activada para clientes.</w:t>
      </w:r>
    </w:p>
    <w:p>
      <w:pPr>
        <w:pStyle w:val="BodyText"/>
      </w:pPr>
      <w:r>
        <w:rPr>
          <w:rFonts w:ascii="Calibri" w:hAnsi="Calibri"/>
          <w:i w:val="0"/>
          <w:color w:val="243447"/>
        </w:rPr>
        <w:t>El MVP propuesto centralizará esa información en una aplicación local. Permitirá registrar proyectos, módulos, releases e ítems de release; seguir su avance por ambientes configurables; separar despliegue en producción de activación para clientes; asignar acciones y fechas; y mantener un historial auditable de cambios.</w:t>
      </w:r>
    </w:p>
    <w:p>
      <w:pPr>
        <w:pStyle w:val="BodyText"/>
      </w:pPr>
      <w:r>
        <w:rPr>
          <w:rFonts w:ascii="Calibri" w:hAnsi="Calibri"/>
          <w:i w:val="0"/>
          <w:color w:val="243447"/>
        </w:rPr>
        <w:t>La primera implementación se validará con Reports. Si el flujo demuestra utilidad y disciplina operativa, se incorporarán AdminAPI, Dashboard, Invoicing y Fintrac, y se evaluará una migración a un entorno compartido.</w:t>
      </w:r>
    </w:p>
    <w:p>
      <w:pPr>
        <w:pStyle w:val="Heading1"/>
      </w:pPr>
      <w:r>
        <w:t>3. Problema y oportunidad</w:t>
      </w:r>
    </w:p>
    <w:p>
      <w:pPr>
        <w:pStyle w:val="Heading2"/>
      </w:pPr>
      <w:r>
        <w:t>3.1 Problema actual</w:t>
      </w:r>
    </w:p>
    <w:p>
      <w:pPr>
        <w:pStyle w:val="BodyText"/>
        <w:numPr>
          <w:ilvl w:val="0"/>
          <w:numId w:val="91"/>
        </w:numPr>
      </w:pPr>
      <w:r>
        <w:rPr>
          <w:rFonts w:ascii="Calibri" w:hAnsi="Calibri"/>
          <w:color w:val="243447"/>
        </w:rPr>
        <w:t>La información está dispersa entre reuniones, mensajes, tickets y memoria de las personas.</w:t>
      </w:r>
    </w:p>
    <w:p>
      <w:pPr>
        <w:pStyle w:val="BodyText"/>
        <w:numPr>
          <w:ilvl w:val="0"/>
          <w:numId w:val="91"/>
        </w:numPr>
      </w:pPr>
      <w:r>
        <w:rPr>
          <w:rFonts w:ascii="Calibri" w:hAnsi="Calibri"/>
          <w:color w:val="243447"/>
        </w:rPr>
        <w:t>El paso de TATU a SITA y Production se percibe como una “caja negra” cuando no existe una confirmación visible.</w:t>
      </w:r>
    </w:p>
    <w:p>
      <w:pPr>
        <w:pStyle w:val="BodyText"/>
        <w:numPr>
          <w:ilvl w:val="0"/>
          <w:numId w:val="91"/>
        </w:numPr>
      </w:pPr>
      <w:r>
        <w:rPr>
          <w:rFonts w:ascii="Calibri" w:hAnsi="Calibri"/>
          <w:color w:val="243447"/>
        </w:rPr>
        <w:t>“Está en producción” puede confundirse con “está disponible para clientes”. Son estados distintos.</w:t>
      </w:r>
    </w:p>
    <w:p>
      <w:pPr>
        <w:pStyle w:val="BodyText"/>
        <w:numPr>
          <w:ilvl w:val="0"/>
          <w:numId w:val="91"/>
        </w:numPr>
      </w:pPr>
      <w:r>
        <w:rPr>
          <w:rFonts w:ascii="Calibri" w:hAnsi="Calibri"/>
          <w:color w:val="243447"/>
        </w:rPr>
        <w:t>Un módulo base y sus improvements pueden encontrarse en ambientes diferentes, pero una sola fila no lo representa bien.</w:t>
      </w:r>
    </w:p>
    <w:p>
      <w:pPr>
        <w:pStyle w:val="BodyText"/>
        <w:numPr>
          <w:ilvl w:val="0"/>
          <w:numId w:val="91"/>
        </w:numPr>
      </w:pPr>
      <w:r>
        <w:rPr>
          <w:rFonts w:ascii="Calibri" w:hAnsi="Calibri"/>
          <w:color w:val="243447"/>
        </w:rPr>
        <w:t>No existe una vista consolidada de seguimientos vencidos, bloqueos o datos no verificados recientemente.</w:t>
      </w:r>
    </w:p>
    <w:p>
      <w:pPr>
        <w:pStyle w:val="Heading2"/>
      </w:pPr>
      <w:r>
        <w:t>3.2 Oportunidad</w:t>
      </w:r>
    </w:p>
    <w:p>
      <w:pPr>
        <w:pStyle w:val="BodyText"/>
      </w:pPr>
      <w:r>
        <w:rPr>
          <w:rFonts w:ascii="Calibri" w:hAnsi="Calibri"/>
          <w:i w:val="0"/>
          <w:color w:val="243447"/>
        </w:rPr>
        <w:t>Una herramienta pequeña, controlada por el propio usuario y alineada con su experiencia técnica puede reducir la dependencia de documentación externa y establecer un método repetible antes de invertir en una solución corporativa. El valor principal no provendrá de la tecnología, sino de convertir cada estado en un registro con evidencia, responsable y siguiente acción.</w:t>
      </w:r>
    </w:p>
    <w:p>
      <w:pPr>
        <w:pStyle w:val="Heading1"/>
      </w:pPr>
      <w:r>
        <w:t>4. Visión, objetivos y métricas</w:t>
      </w:r>
    </w:p>
    <w:p>
      <w:pPr>
        <w:pStyle w:val="Heading2"/>
      </w:pPr>
      <w:r>
        <w:t>4.1 Visión del producto</w:t>
      </w:r>
    </w:p>
    <w:p>
      <w:pPr>
        <w:pStyle w:val="Callout"/>
        <w:shd w:fill="EAF2F8"/>
        <w:pBdr>
          <w:left w:val="single" w:sz="18" w:space="8" w:color="2E74B5"/>
        </w:pBdr>
      </w:pPr>
      <w:r>
        <w:rPr>
          <w:rFonts w:ascii="Calibri" w:hAnsi="Calibri"/>
          <w:b/>
          <w:color w:val="17365D"/>
        </w:rPr>
        <w:t xml:space="preserve">VISIÓN  </w:t>
      </w:r>
      <w:r>
        <w:rPr>
          <w:rFonts w:ascii="Calibri" w:hAnsi="Calibri"/>
          <w:color w:val="243447"/>
        </w:rPr>
        <w:t>Disponer de una fuente central, verificable y accionable que permita conocer en minutos qué se está construyendo, dónde se encuentra, qué impide avanzar y qué debe ocurrir después.</w:t>
      </w:r>
    </w:p>
    <w:p>
      <w:pPr>
        <w:pStyle w:val="Heading2"/>
      </w:pPr>
      <w:r>
        <w:t>4.2 Objetivos del MVP</w:t>
      </w:r>
    </w:p>
    <w:p>
      <w:pPr>
        <w:pStyle w:val="BodyText"/>
        <w:numPr>
          <w:ilvl w:val="0"/>
          <w:numId w:val="93"/>
        </w:numPr>
      </w:pPr>
      <w:r>
        <w:rPr>
          <w:rFonts w:ascii="Calibri" w:hAnsi="Calibri"/>
          <w:color w:val="243447"/>
        </w:rPr>
        <w:t>Centralizar el inventario de proyectos, módulos, releases e iniciativas bajo responsabilidad del usuario.</w:t>
      </w:r>
    </w:p>
    <w:p>
      <w:pPr>
        <w:pStyle w:val="BodyText"/>
        <w:numPr>
          <w:ilvl w:val="0"/>
          <w:numId w:val="93"/>
        </w:numPr>
      </w:pPr>
      <w:r>
        <w:rPr>
          <w:rFonts w:ascii="Calibri" w:hAnsi="Calibri"/>
          <w:color w:val="243447"/>
        </w:rPr>
        <w:t>Mantener trazabilidad del avance por ambiente con fecha, fuente y persona que confirma.</w:t>
      </w:r>
    </w:p>
    <w:p>
      <w:pPr>
        <w:pStyle w:val="BodyText"/>
        <w:numPr>
          <w:ilvl w:val="0"/>
          <w:numId w:val="93"/>
        </w:numPr>
      </w:pPr>
      <w:r>
        <w:rPr>
          <w:rFonts w:ascii="Calibri" w:hAnsi="Calibri"/>
          <w:color w:val="243447"/>
        </w:rPr>
        <w:t>Separar claramente despliegue técnico en Production de activación o disponibilidad para clientes.</w:t>
      </w:r>
    </w:p>
    <w:p>
      <w:pPr>
        <w:pStyle w:val="BodyText"/>
        <w:numPr>
          <w:ilvl w:val="0"/>
          <w:numId w:val="93"/>
        </w:numPr>
      </w:pPr>
      <w:r>
        <w:rPr>
          <w:rFonts w:ascii="Calibri" w:hAnsi="Calibri"/>
          <w:color w:val="243447"/>
        </w:rPr>
        <w:t>Convertir incertidumbres en acciones con responsable, contacto, fecha objetivo y estado.</w:t>
      </w:r>
    </w:p>
    <w:p>
      <w:pPr>
        <w:pStyle w:val="BodyText"/>
        <w:numPr>
          <w:ilvl w:val="0"/>
          <w:numId w:val="93"/>
        </w:numPr>
      </w:pPr>
      <w:r>
        <w:rPr>
          <w:rFonts w:ascii="Calibri" w:hAnsi="Calibri"/>
          <w:color w:val="243447"/>
        </w:rPr>
        <w:t>Detectar vencimientos, datos obsoletos y ausencia de siguiente acción sin depender de una tarea programada permanente.</w:t>
      </w:r>
    </w:p>
    <w:p>
      <w:pPr>
        <w:pStyle w:val="BodyText"/>
        <w:numPr>
          <w:ilvl w:val="0"/>
          <w:numId w:val="93"/>
        </w:numPr>
      </w:pPr>
      <w:r>
        <w:rPr>
          <w:rFonts w:ascii="Calibri" w:hAnsi="Calibri"/>
          <w:color w:val="243447"/>
        </w:rPr>
        <w:t>Validar el método con Reports antes de ampliarlo a otros proyectos.</w:t>
      </w:r>
    </w:p>
    <w:p>
      <w:pPr>
        <w:pStyle w:val="Heading2"/>
      </w:pPr>
      <w:r>
        <w:t>4.3 Métricas de éxito del piloto</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3250"/>
        <w:gridCol w:w="6110"/>
      </w:tblGrid>
      <w:tr>
        <w:trPr>
          <w:tblHeader w:val="true"/>
        </w:trPr>
        <w:tc>
          <w:tcPr>
            <w:tcW w:type="dxa" w:w="325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Métrica</w:t>
            </w:r>
          </w:p>
        </w:tc>
        <w:tc>
          <w:tcPr>
            <w:tcW w:type="dxa" w:w="611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Meta de aceptación</w:t>
            </w:r>
          </w:p>
        </w:tc>
      </w:tr>
      <w:tr>
        <w:trPr>
          <w:cantSplit/>
        </w:trPr>
        <w:tc>
          <w:tcPr>
            <w:tcW w:type="dxa" w:w="3250"/>
            <w:tcMar>
              <w:top w:w="80" w:type="dxa"/>
              <w:start w:w="120" w:type="dxa"/>
              <w:bottom w:w="80" w:type="dxa"/>
              <w:end w:w="120" w:type="dxa"/>
            </w:tcMar>
            <w:vAlign w:val="center"/>
          </w:tcPr>
          <w:p>
            <w:pPr>
              <w:spacing w:before="0" w:after="0" w:line="252" w:lineRule="auto"/>
              <w:jc w:val="left"/>
            </w:pPr>
            <w:r>
              <w:rPr>
                <w:rFonts w:ascii="Calibri" w:hAnsi="Calibri"/>
                <w:color w:val="243447"/>
                <w:sz w:val="18"/>
              </w:rPr>
              <w:t>Cobertura de Reports</w:t>
            </w:r>
          </w:p>
        </w:tc>
        <w:tc>
          <w:tcPr>
            <w:tcW w:type="dxa" w:w="6110"/>
            <w:tcMar>
              <w:top w:w="80" w:type="dxa"/>
              <w:start w:w="120" w:type="dxa"/>
              <w:bottom w:w="80" w:type="dxa"/>
              <w:end w:w="120" w:type="dxa"/>
            </w:tcMar>
            <w:vAlign w:val="center"/>
          </w:tcPr>
          <w:p>
            <w:pPr>
              <w:spacing w:before="0" w:after="0" w:line="252" w:lineRule="auto"/>
              <w:jc w:val="left"/>
            </w:pPr>
            <w:r>
              <w:rPr>
                <w:rFonts w:ascii="Calibri" w:hAnsi="Calibri"/>
                <w:color w:val="243447"/>
                <w:sz w:val="18"/>
              </w:rPr>
              <w:t>100% de los temas activos del baseline representados, excluyendo Remittances.</w:t>
            </w:r>
          </w:p>
        </w:tc>
      </w:tr>
      <w:tr>
        <w:trPr>
          <w:cantSplit/>
        </w:trPr>
        <w:tc>
          <w:tcPr>
            <w:tcW w:type="dxa" w:w="3250"/>
            <w:tcMar>
              <w:top w:w="80" w:type="dxa"/>
              <w:start w:w="120" w:type="dxa"/>
              <w:bottom w:w="80" w:type="dxa"/>
              <w:end w:w="120" w:type="dxa"/>
            </w:tcMar>
            <w:vAlign w:val="center"/>
          </w:tcPr>
          <w:p>
            <w:pPr>
              <w:spacing w:before="0" w:after="0" w:line="252" w:lineRule="auto"/>
              <w:jc w:val="left"/>
            </w:pPr>
            <w:r>
              <w:rPr>
                <w:rFonts w:ascii="Calibri" w:hAnsi="Calibri"/>
                <w:color w:val="243447"/>
                <w:sz w:val="18"/>
              </w:rPr>
              <w:t>Accionabilidad</w:t>
            </w:r>
          </w:p>
        </w:tc>
        <w:tc>
          <w:tcPr>
            <w:tcW w:type="dxa" w:w="6110"/>
            <w:tcMar>
              <w:top w:w="80" w:type="dxa"/>
              <w:start w:w="120" w:type="dxa"/>
              <w:bottom w:w="80" w:type="dxa"/>
              <w:end w:w="120" w:type="dxa"/>
            </w:tcMar>
            <w:vAlign w:val="center"/>
          </w:tcPr>
          <w:p>
            <w:pPr>
              <w:spacing w:before="0" w:after="0" w:line="252" w:lineRule="auto"/>
              <w:jc w:val="left"/>
            </w:pPr>
            <w:r>
              <w:rPr>
                <w:rFonts w:ascii="Calibri" w:hAnsi="Calibri"/>
                <w:color w:val="243447"/>
                <w:sz w:val="18"/>
              </w:rPr>
              <w:t>100% de los ítems abiertos con siguiente acción; los que requieran seguimiento incluyen responsable y fecha.</w:t>
            </w:r>
          </w:p>
        </w:tc>
      </w:tr>
      <w:tr>
        <w:trPr>
          <w:cantSplit/>
        </w:trPr>
        <w:tc>
          <w:tcPr>
            <w:tcW w:type="dxa" w:w="3250"/>
            <w:tcMar>
              <w:top w:w="80" w:type="dxa"/>
              <w:start w:w="120" w:type="dxa"/>
              <w:bottom w:w="80" w:type="dxa"/>
              <w:end w:w="120" w:type="dxa"/>
            </w:tcMar>
            <w:vAlign w:val="center"/>
          </w:tcPr>
          <w:p>
            <w:pPr>
              <w:spacing w:before="0" w:after="0" w:line="252" w:lineRule="auto"/>
              <w:jc w:val="left"/>
            </w:pPr>
            <w:r>
              <w:rPr>
                <w:rFonts w:ascii="Calibri" w:hAnsi="Calibri"/>
                <w:color w:val="243447"/>
                <w:sz w:val="18"/>
              </w:rPr>
              <w:t>Trazabilidad</w:t>
            </w:r>
          </w:p>
        </w:tc>
        <w:tc>
          <w:tcPr>
            <w:tcW w:type="dxa" w:w="6110"/>
            <w:tcMar>
              <w:top w:w="80" w:type="dxa"/>
              <w:start w:w="120" w:type="dxa"/>
              <w:bottom w:w="80" w:type="dxa"/>
              <w:end w:w="120" w:type="dxa"/>
            </w:tcMar>
            <w:vAlign w:val="center"/>
          </w:tcPr>
          <w:p>
            <w:pPr>
              <w:spacing w:before="0" w:after="0" w:line="252" w:lineRule="auto"/>
              <w:jc w:val="left"/>
            </w:pPr>
            <w:r>
              <w:rPr>
                <w:rFonts w:ascii="Calibri" w:hAnsi="Calibri"/>
                <w:color w:val="243447"/>
                <w:sz w:val="18"/>
              </w:rPr>
              <w:t>100% de los cambios de estado con fecha, fuente y persona que confirma.</w:t>
            </w:r>
          </w:p>
        </w:tc>
      </w:tr>
      <w:tr>
        <w:trPr>
          <w:cantSplit/>
        </w:trPr>
        <w:tc>
          <w:tcPr>
            <w:tcW w:type="dxa" w:w="3250"/>
            <w:tcMar>
              <w:top w:w="80" w:type="dxa"/>
              <w:start w:w="120" w:type="dxa"/>
              <w:bottom w:w="80" w:type="dxa"/>
              <w:end w:w="120" w:type="dxa"/>
            </w:tcMar>
            <w:vAlign w:val="center"/>
          </w:tcPr>
          <w:p>
            <w:pPr>
              <w:spacing w:before="0" w:after="0" w:line="252" w:lineRule="auto"/>
              <w:jc w:val="left"/>
            </w:pPr>
            <w:r>
              <w:rPr>
                <w:rFonts w:ascii="Calibri" w:hAnsi="Calibri"/>
                <w:color w:val="243447"/>
                <w:sz w:val="18"/>
              </w:rPr>
              <w:t>Velocidad de consulta</w:t>
            </w:r>
          </w:p>
        </w:tc>
        <w:tc>
          <w:tcPr>
            <w:tcW w:type="dxa" w:w="6110"/>
            <w:tcMar>
              <w:top w:w="80" w:type="dxa"/>
              <w:start w:w="120" w:type="dxa"/>
              <w:bottom w:w="80" w:type="dxa"/>
              <w:end w:w="120" w:type="dxa"/>
            </w:tcMar>
            <w:vAlign w:val="center"/>
          </w:tcPr>
          <w:p>
            <w:pPr>
              <w:spacing w:before="0" w:after="0" w:line="252" w:lineRule="auto"/>
              <w:jc w:val="left"/>
            </w:pPr>
            <w:r>
              <w:rPr>
                <w:rFonts w:ascii="Calibri" w:hAnsi="Calibri"/>
                <w:color w:val="243447"/>
                <w:sz w:val="18"/>
              </w:rPr>
              <w:t>Identificar bloqueos y seguimientos vencidos en menos de 2 minutos.</w:t>
            </w:r>
          </w:p>
        </w:tc>
      </w:tr>
      <w:tr>
        <w:trPr>
          <w:cantSplit/>
        </w:trPr>
        <w:tc>
          <w:tcPr>
            <w:tcW w:type="dxa" w:w="3250"/>
            <w:tcMar>
              <w:top w:w="80" w:type="dxa"/>
              <w:start w:w="120" w:type="dxa"/>
              <w:bottom w:w="80" w:type="dxa"/>
              <w:end w:w="120" w:type="dxa"/>
            </w:tcMar>
            <w:vAlign w:val="center"/>
          </w:tcPr>
          <w:p>
            <w:pPr>
              <w:spacing w:before="0" w:after="0" w:line="252" w:lineRule="auto"/>
              <w:jc w:val="left"/>
            </w:pPr>
            <w:r>
              <w:rPr>
                <w:rFonts w:ascii="Calibri" w:hAnsi="Calibri"/>
                <w:color w:val="243447"/>
                <w:sz w:val="18"/>
              </w:rPr>
              <w:t>Distinción de producción</w:t>
            </w:r>
          </w:p>
        </w:tc>
        <w:tc>
          <w:tcPr>
            <w:tcW w:type="dxa" w:w="6110"/>
            <w:tcMar>
              <w:top w:w="80" w:type="dxa"/>
              <w:start w:w="120" w:type="dxa"/>
              <w:bottom w:w="80" w:type="dxa"/>
              <w:end w:w="120" w:type="dxa"/>
            </w:tcMar>
            <w:vAlign w:val="center"/>
          </w:tcPr>
          <w:p>
            <w:pPr>
              <w:spacing w:before="0" w:after="0" w:line="252" w:lineRule="auto"/>
              <w:jc w:val="left"/>
            </w:pPr>
            <w:r>
              <w:rPr>
                <w:rFonts w:ascii="Calibri" w:hAnsi="Calibri"/>
                <w:color w:val="243447"/>
                <w:sz w:val="18"/>
              </w:rPr>
              <w:t>Ningún ítem usa “Production” como sinónimo automático de “activo para clientes”.</w:t>
            </w:r>
          </w:p>
        </w:tc>
      </w:tr>
      <w:tr>
        <w:trPr>
          <w:cantSplit/>
        </w:trPr>
        <w:tc>
          <w:tcPr>
            <w:tcW w:type="dxa" w:w="3250"/>
            <w:tcMar>
              <w:top w:w="80" w:type="dxa"/>
              <w:start w:w="120" w:type="dxa"/>
              <w:bottom w:w="80" w:type="dxa"/>
              <w:end w:w="120" w:type="dxa"/>
            </w:tcMar>
            <w:vAlign w:val="center"/>
          </w:tcPr>
          <w:p>
            <w:pPr>
              <w:spacing w:before="0" w:after="0" w:line="252" w:lineRule="auto"/>
              <w:jc w:val="left"/>
            </w:pPr>
            <w:r>
              <w:rPr>
                <w:rFonts w:ascii="Calibri" w:hAnsi="Calibri"/>
                <w:color w:val="243447"/>
                <w:sz w:val="18"/>
              </w:rPr>
              <w:t>Recuperación</w:t>
            </w:r>
          </w:p>
        </w:tc>
        <w:tc>
          <w:tcPr>
            <w:tcW w:type="dxa" w:w="6110"/>
            <w:tcMar>
              <w:top w:w="80" w:type="dxa"/>
              <w:start w:w="120" w:type="dxa"/>
              <w:bottom w:w="80" w:type="dxa"/>
              <w:end w:w="120" w:type="dxa"/>
            </w:tcMar>
            <w:vAlign w:val="center"/>
          </w:tcPr>
          <w:p>
            <w:pPr>
              <w:spacing w:before="0" w:after="0" w:line="252" w:lineRule="auto"/>
              <w:jc w:val="left"/>
            </w:pPr>
            <w:r>
              <w:rPr>
                <w:rFonts w:ascii="Calibri" w:hAnsi="Calibri"/>
                <w:color w:val="243447"/>
                <w:sz w:val="18"/>
              </w:rPr>
              <w:t>Ejecutar y restaurar al menos un respaldo de prueba antes de cerrar el piloto.</w:t>
            </w:r>
          </w:p>
        </w:tc>
      </w:tr>
    </w:tbl>
    <w:p>
      <w:pPr>
        <w:spacing w:after="0"/>
      </w:pPr>
    </w:p>
    <w:p>
      <w:pPr>
        <w:pStyle w:val="Heading1"/>
      </w:pPr>
      <w:r>
        <w:t>5. Alcance del MVP</w:t>
      </w:r>
    </w:p>
    <w:p>
      <w:pPr>
        <w:pStyle w:val="Heading2"/>
      </w:pPr>
      <w:r>
        <w:t>5.1 Incluido</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3000"/>
        <w:gridCol w:w="6360"/>
      </w:tblGrid>
      <w:tr>
        <w:trPr>
          <w:tblHeader w:val="true"/>
        </w:trPr>
        <w:tc>
          <w:tcPr>
            <w:tcW w:type="dxa" w:w="30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Capacidad</w:t>
            </w:r>
          </w:p>
        </w:tc>
        <w:tc>
          <w:tcPr>
            <w:tcW w:type="dxa" w:w="63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Resultado esperado</w:t>
            </w:r>
          </w:p>
        </w:tc>
      </w:tr>
      <w:tr>
        <w:trPr>
          <w:cantSplit/>
        </w:trPr>
        <w:tc>
          <w:tcPr>
            <w:tcW w:type="dxa" w:w="30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Dashboard de portafolio</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Resumen de proyectos, releases, bloqueos, vencimientos y alertas.</w:t>
            </w:r>
          </w:p>
        </w:tc>
      </w:tr>
      <w:tr>
        <w:trPr>
          <w:cantSplit/>
        </w:trPr>
        <w:tc>
          <w:tcPr>
            <w:tcW w:type="dxa" w:w="30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Proyectos y módulos</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Inventario jerárquico con responsables, estado y descripción.</w:t>
            </w:r>
          </w:p>
        </w:tc>
      </w:tr>
      <w:tr>
        <w:trPr>
          <w:cantSplit/>
        </w:trPr>
        <w:tc>
          <w:tcPr>
            <w:tcW w:type="dxa" w:w="30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Releases e ítems</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Agrupación de cambios desplegables, relación opcional con Jira y release notes.</w:t>
            </w:r>
          </w:p>
        </w:tc>
      </w:tr>
      <w:tr>
        <w:trPr>
          <w:cantSplit/>
        </w:trPr>
        <w:tc>
          <w:tcPr>
            <w:tcW w:type="dxa" w:w="30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Ambientes configurables</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Seguimiento por MOJA, TATU, SITA, Production u otros ambientes futuros.</w:t>
            </w:r>
          </w:p>
        </w:tc>
      </w:tr>
      <w:tr>
        <w:trPr>
          <w:cantSplit/>
        </w:trPr>
        <w:tc>
          <w:tcPr>
            <w:tcW w:type="dxa" w:w="30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Producción y activación</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Estados y fechas separados para despliegue y disponibilidad para clientes.</w:t>
            </w:r>
          </w:p>
        </w:tc>
      </w:tr>
      <w:tr>
        <w:trPr>
          <w:cantSplit/>
        </w:trPr>
        <w:tc>
          <w:tcPr>
            <w:tcW w:type="dxa" w:w="30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Seguimientos</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Siguiente acción, responsable, contacto, fecha objetivo, estado y notas.</w:t>
            </w:r>
          </w:p>
        </w:tc>
      </w:tr>
      <w:tr>
        <w:trPr>
          <w:cantSplit/>
        </w:trPr>
        <w:tc>
          <w:tcPr>
            <w:tcW w:type="dxa" w:w="30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Historial</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Registro inmutable de cambios relevantes con fecha y autor lógico.</w:t>
            </w:r>
          </w:p>
        </w:tc>
      </w:tr>
      <w:tr>
        <w:trPr>
          <w:cantSplit/>
        </w:trPr>
        <w:tc>
          <w:tcPr>
            <w:tcW w:type="dxa" w:w="30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Configuración básica</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Catálogos de estados, prioridades, tipos de evidencia y ambientes.</w:t>
            </w:r>
          </w:p>
        </w:tc>
      </w:tr>
      <w:tr>
        <w:trPr>
          <w:cantSplit/>
        </w:trPr>
        <w:tc>
          <w:tcPr>
            <w:tcW w:type="dxa" w:w="30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Datos iniciales de Reports</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Carga semilla del baseline conocido al 7 de agosto de 2026.</w:t>
            </w:r>
          </w:p>
        </w:tc>
      </w:tr>
    </w:tbl>
    <w:p>
      <w:pPr>
        <w:spacing w:after="0"/>
      </w:pPr>
    </w:p>
    <w:p>
      <w:pPr>
        <w:pStyle w:val="Heading2"/>
      </w:pPr>
      <w:r>
        <w:t>5.2 Fuera de alcance</w:t>
      </w:r>
    </w:p>
    <w:p>
      <w:pPr>
        <w:pStyle w:val="BodyText"/>
        <w:numPr>
          <w:ilvl w:val="0"/>
          <w:numId w:val="91"/>
        </w:numPr>
      </w:pPr>
      <w:r>
        <w:rPr>
          <w:rFonts w:ascii="Calibri" w:hAnsi="Calibri"/>
          <w:color w:val="243447"/>
        </w:rPr>
        <w:t>Remittances y cualquier funcionalidad propia de ese proyecto.</w:t>
      </w:r>
    </w:p>
    <w:p>
      <w:pPr>
        <w:pStyle w:val="BodyText"/>
        <w:numPr>
          <w:ilvl w:val="0"/>
          <w:numId w:val="91"/>
        </w:numPr>
      </w:pPr>
      <w:r>
        <w:rPr>
          <w:rFonts w:ascii="Calibri" w:hAnsi="Calibri"/>
          <w:color w:val="243447"/>
        </w:rPr>
        <w:t>Acceso multiusuario, colaboración simultánea, roles corporativos y autenticación con Microsoft Entra.</w:t>
      </w:r>
    </w:p>
    <w:p>
      <w:pPr>
        <w:pStyle w:val="BodyText"/>
        <w:numPr>
          <w:ilvl w:val="0"/>
          <w:numId w:val="91"/>
        </w:numPr>
      </w:pPr>
      <w:r>
        <w:rPr>
          <w:rFonts w:ascii="Calibri" w:hAnsi="Calibri"/>
          <w:color w:val="243447"/>
        </w:rPr>
        <w:t>Hosting, dominio, acceso remoto, alta disponibilidad y operación 24/7.</w:t>
      </w:r>
    </w:p>
    <w:p>
      <w:pPr>
        <w:pStyle w:val="BodyText"/>
        <w:numPr>
          <w:ilvl w:val="0"/>
          <w:numId w:val="91"/>
        </w:numPr>
      </w:pPr>
      <w:r>
        <w:rPr>
          <w:rFonts w:ascii="Calibri" w:hAnsi="Calibri"/>
          <w:color w:val="243447"/>
        </w:rPr>
        <w:t>Integración automática con Jira, Teams, correo, Power BI, pipelines o sistemas de despliegue.</w:t>
      </w:r>
    </w:p>
    <w:p>
      <w:pPr>
        <w:pStyle w:val="BodyText"/>
        <w:numPr>
          <w:ilvl w:val="0"/>
          <w:numId w:val="91"/>
        </w:numPr>
      </w:pPr>
      <w:r>
        <w:rPr>
          <w:rFonts w:ascii="Calibri" w:hAnsi="Calibri"/>
          <w:color w:val="243447"/>
        </w:rPr>
        <w:t>Notificaciones externas. Las alertas se mostrarán dentro de la aplicación.</w:t>
      </w:r>
    </w:p>
    <w:p>
      <w:pPr>
        <w:pStyle w:val="BodyText"/>
        <w:numPr>
          <w:ilvl w:val="0"/>
          <w:numId w:val="91"/>
        </w:numPr>
      </w:pPr>
      <w:r>
        <w:rPr>
          <w:rFonts w:ascii="Calibri" w:hAnsi="Calibri"/>
          <w:color w:val="243447"/>
        </w:rPr>
        <w:t>Almacenamiento de datos sensibles de clientes, credenciales o información protegida de producción.</w:t>
      </w:r>
    </w:p>
    <w:p>
      <w:pPr>
        <w:pStyle w:val="BodyText"/>
        <w:numPr>
          <w:ilvl w:val="0"/>
          <w:numId w:val="91"/>
        </w:numPr>
      </w:pPr>
      <w:r>
        <w:rPr>
          <w:rFonts w:ascii="Calibri" w:hAnsi="Calibri"/>
          <w:color w:val="243447"/>
        </w:rPr>
        <w:t>Gestión de código fuente, ejecución de despliegues o aprobación técnica de releases.</w:t>
      </w:r>
    </w:p>
    <w:p>
      <w:pPr>
        <w:pStyle w:val="Heading2"/>
      </w:pPr>
      <w:r>
        <w:t>5.3 Supuestos y restricciones</w:t>
      </w:r>
    </w:p>
    <w:p>
      <w:pPr>
        <w:pStyle w:val="BodyText"/>
        <w:numPr>
          <w:ilvl w:val="0"/>
          <w:numId w:val="91"/>
        </w:numPr>
      </w:pPr>
      <w:r>
        <w:rPr>
          <w:rFonts w:ascii="Calibri" w:hAnsi="Calibri"/>
          <w:color w:val="243447"/>
        </w:rPr>
        <w:t>La aplicación se ejecutará en la máquina del usuario y solo estará disponible mientras los procesos locales estén activos.</w:t>
      </w:r>
    </w:p>
    <w:p>
      <w:pPr>
        <w:pStyle w:val="BodyText"/>
        <w:numPr>
          <w:ilvl w:val="0"/>
          <w:numId w:val="91"/>
        </w:numPr>
      </w:pPr>
      <w:r>
        <w:rPr>
          <w:rFonts w:ascii="Calibri" w:hAnsi="Calibri"/>
          <w:color w:val="243447"/>
        </w:rPr>
        <w:t>La información se actualizará manualmente a partir de reuniones, mensajes, Jira y confirmaciones de responsables.</w:t>
      </w:r>
    </w:p>
    <w:p>
      <w:pPr>
        <w:pStyle w:val="BodyText"/>
        <w:numPr>
          <w:ilvl w:val="0"/>
          <w:numId w:val="91"/>
        </w:numPr>
      </w:pPr>
      <w:r>
        <w:rPr>
          <w:rFonts w:ascii="Calibri" w:hAnsi="Calibri"/>
          <w:color w:val="243447"/>
        </w:rPr>
        <w:t>El usuario inicial tendrá permisos completos. La autenticación puede diferirse, pero el modelo conservará campos de autoría para una futura versión multiusuario.</w:t>
      </w:r>
    </w:p>
    <w:p>
      <w:pPr>
        <w:pStyle w:val="BodyText"/>
        <w:numPr>
          <w:ilvl w:val="0"/>
          <w:numId w:val="91"/>
        </w:numPr>
      </w:pPr>
      <w:r>
        <w:rPr>
          <w:rFonts w:ascii="Calibri" w:hAnsi="Calibri"/>
          <w:color w:val="243447"/>
        </w:rPr>
        <w:t>Las alertas se calcularán al abrir o refrescar la aplicación; no dependerán de un scheduler persistente.</w:t>
      </w:r>
    </w:p>
    <w:p>
      <w:pPr>
        <w:pStyle w:val="Heading1"/>
      </w:pPr>
      <w:r>
        <w:t>6. Usuarios y roles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150"/>
        <w:gridCol w:w="3970"/>
        <w:gridCol w:w="3240"/>
      </w:tblGrid>
      <w:tr>
        <w:trPr>
          <w:tblHeader w:val="true"/>
        </w:trPr>
        <w:tc>
          <w:tcPr>
            <w:tcW w:type="dxa" w:w="215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Rol</w:t>
            </w:r>
          </w:p>
        </w:tc>
        <w:tc>
          <w:tcPr>
            <w:tcW w:type="dxa" w:w="397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Necesidad</w:t>
            </w:r>
          </w:p>
        </w:tc>
        <w:tc>
          <w:tcPr>
            <w:tcW w:type="dxa" w:w="324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Alcance en MVP</w:t>
            </w:r>
          </w:p>
        </w:tc>
      </w:tr>
      <w:tr>
        <w:trPr>
          <w:cantSplit/>
        </w:trPr>
        <w:tc>
          <w:tcPr>
            <w:tcW w:type="dxa" w:w="2150"/>
            <w:tcMar>
              <w:top w:w="80" w:type="dxa"/>
              <w:start w:w="120" w:type="dxa"/>
              <w:bottom w:w="80" w:type="dxa"/>
              <w:end w:w="120" w:type="dxa"/>
            </w:tcMar>
            <w:vAlign w:val="center"/>
          </w:tcPr>
          <w:p>
            <w:pPr>
              <w:spacing w:before="0" w:after="0" w:line="252" w:lineRule="auto"/>
              <w:jc w:val="left"/>
            </w:pPr>
            <w:r>
              <w:rPr>
                <w:rFonts w:ascii="Calibri" w:hAnsi="Calibri"/>
                <w:color w:val="243447"/>
                <w:sz w:val="18"/>
              </w:rPr>
              <w:t>Product Owner / BA — Jhon</w:t>
            </w:r>
          </w:p>
        </w:tc>
        <w:tc>
          <w:tcPr>
            <w:tcW w:type="dxa" w:w="3970"/>
            <w:tcMar>
              <w:top w:w="80" w:type="dxa"/>
              <w:start w:w="120" w:type="dxa"/>
              <w:bottom w:w="80" w:type="dxa"/>
              <w:end w:w="120" w:type="dxa"/>
            </w:tcMar>
            <w:vAlign w:val="center"/>
          </w:tcPr>
          <w:p>
            <w:pPr>
              <w:spacing w:before="0" w:after="0" w:line="252" w:lineRule="auto"/>
              <w:jc w:val="left"/>
            </w:pPr>
            <w:r>
              <w:rPr>
                <w:rFonts w:ascii="Calibri" w:hAnsi="Calibri"/>
                <w:color w:val="243447"/>
                <w:sz w:val="18"/>
              </w:rPr>
              <w:t>Registrar, verificar, dar seguimiento y comunicar el estado del portafolio.</w:t>
            </w:r>
          </w:p>
        </w:tc>
        <w:tc>
          <w:tcPr>
            <w:tcW w:type="dxa" w:w="3240"/>
            <w:tcMar>
              <w:top w:w="80" w:type="dxa"/>
              <w:start w:w="120" w:type="dxa"/>
              <w:bottom w:w="80" w:type="dxa"/>
              <w:end w:w="120" w:type="dxa"/>
            </w:tcMar>
            <w:vAlign w:val="center"/>
          </w:tcPr>
          <w:p>
            <w:pPr>
              <w:spacing w:before="0" w:after="0" w:line="252" w:lineRule="auto"/>
              <w:jc w:val="left"/>
            </w:pPr>
            <w:r>
              <w:rPr>
                <w:rFonts w:ascii="Calibri" w:hAnsi="Calibri"/>
                <w:color w:val="243447"/>
                <w:sz w:val="18"/>
              </w:rPr>
              <w:t>Usuario operativo único; acceso completo.</w:t>
            </w:r>
          </w:p>
        </w:tc>
      </w:tr>
      <w:tr>
        <w:trPr>
          <w:cantSplit/>
        </w:trPr>
        <w:tc>
          <w:tcPr>
            <w:tcW w:type="dxa" w:w="2150"/>
            <w:tcMar>
              <w:top w:w="80" w:type="dxa"/>
              <w:start w:w="120" w:type="dxa"/>
              <w:bottom w:w="80" w:type="dxa"/>
              <w:end w:w="120" w:type="dxa"/>
            </w:tcMar>
            <w:vAlign w:val="center"/>
          </w:tcPr>
          <w:p>
            <w:pPr>
              <w:spacing w:before="0" w:after="0" w:line="252" w:lineRule="auto"/>
              <w:jc w:val="left"/>
            </w:pPr>
            <w:r>
              <w:rPr>
                <w:rFonts w:ascii="Calibri" w:hAnsi="Calibri"/>
                <w:color w:val="243447"/>
                <w:sz w:val="18"/>
              </w:rPr>
              <w:t>Tech Lead / QA / Release contact</w:t>
            </w:r>
          </w:p>
        </w:tc>
        <w:tc>
          <w:tcPr>
            <w:tcW w:type="dxa" w:w="3970"/>
            <w:tcMar>
              <w:top w:w="80" w:type="dxa"/>
              <w:start w:w="120" w:type="dxa"/>
              <w:bottom w:w="80" w:type="dxa"/>
              <w:end w:w="120" w:type="dxa"/>
            </w:tcMar>
            <w:vAlign w:val="center"/>
          </w:tcPr>
          <w:p>
            <w:pPr>
              <w:spacing w:before="0" w:after="0" w:line="252" w:lineRule="auto"/>
              <w:jc w:val="left"/>
            </w:pPr>
            <w:r>
              <w:rPr>
                <w:rFonts w:ascii="Calibri" w:hAnsi="Calibri"/>
                <w:color w:val="243447"/>
                <w:sz w:val="18"/>
              </w:rPr>
              <w:t>Confirmar estados, bloqueos, pruebas y promociones.</w:t>
            </w:r>
          </w:p>
        </w:tc>
        <w:tc>
          <w:tcPr>
            <w:tcW w:type="dxa" w:w="3240"/>
            <w:tcMar>
              <w:top w:w="80" w:type="dxa"/>
              <w:start w:w="120" w:type="dxa"/>
              <w:bottom w:w="80" w:type="dxa"/>
              <w:end w:w="120" w:type="dxa"/>
            </w:tcMar>
            <w:vAlign w:val="center"/>
          </w:tcPr>
          <w:p>
            <w:pPr>
              <w:spacing w:before="0" w:after="0" w:line="252" w:lineRule="auto"/>
              <w:jc w:val="left"/>
            </w:pPr>
            <w:r>
              <w:rPr>
                <w:rFonts w:ascii="Calibri" w:hAnsi="Calibri"/>
                <w:color w:val="243447"/>
                <w:sz w:val="18"/>
              </w:rPr>
              <w:t>No accede directamente; aparece como responsable o fuente de confirmación.</w:t>
            </w:r>
          </w:p>
        </w:tc>
      </w:tr>
      <w:tr>
        <w:trPr>
          <w:cantSplit/>
        </w:trPr>
        <w:tc>
          <w:tcPr>
            <w:tcW w:type="dxa" w:w="2150"/>
            <w:tcMar>
              <w:top w:w="80" w:type="dxa"/>
              <w:start w:w="120" w:type="dxa"/>
              <w:bottom w:w="80" w:type="dxa"/>
              <w:end w:w="120" w:type="dxa"/>
            </w:tcMar>
            <w:vAlign w:val="center"/>
          </w:tcPr>
          <w:p>
            <w:pPr>
              <w:spacing w:before="0" w:after="0" w:line="252" w:lineRule="auto"/>
              <w:jc w:val="left"/>
            </w:pPr>
            <w:r>
              <w:rPr>
                <w:rFonts w:ascii="Calibri" w:hAnsi="Calibri"/>
                <w:color w:val="243447"/>
                <w:sz w:val="18"/>
              </w:rPr>
              <w:t>Stakeholder ejecutivo</w:t>
            </w:r>
          </w:p>
        </w:tc>
        <w:tc>
          <w:tcPr>
            <w:tcW w:type="dxa" w:w="3970"/>
            <w:tcMar>
              <w:top w:w="80" w:type="dxa"/>
              <w:start w:w="120" w:type="dxa"/>
              <w:bottom w:w="80" w:type="dxa"/>
              <w:end w:w="120" w:type="dxa"/>
            </w:tcMar>
            <w:vAlign w:val="center"/>
          </w:tcPr>
          <w:p>
            <w:pPr>
              <w:spacing w:before="0" w:after="0" w:line="252" w:lineRule="auto"/>
              <w:jc w:val="left"/>
            </w:pPr>
            <w:r>
              <w:rPr>
                <w:rFonts w:ascii="Calibri" w:hAnsi="Calibri"/>
                <w:color w:val="243447"/>
                <w:sz w:val="18"/>
              </w:rPr>
              <w:t>Entender riesgos, progreso y decisiones requeridas.</w:t>
            </w:r>
          </w:p>
        </w:tc>
        <w:tc>
          <w:tcPr>
            <w:tcW w:type="dxa" w:w="3240"/>
            <w:tcMar>
              <w:top w:w="80" w:type="dxa"/>
              <w:start w:w="120" w:type="dxa"/>
              <w:bottom w:w="80" w:type="dxa"/>
              <w:end w:w="120" w:type="dxa"/>
            </w:tcMar>
            <w:vAlign w:val="center"/>
          </w:tcPr>
          <w:p>
            <w:pPr>
              <w:spacing w:before="0" w:after="0" w:line="252" w:lineRule="auto"/>
              <w:jc w:val="left"/>
            </w:pPr>
            <w:r>
              <w:rPr>
                <w:rFonts w:ascii="Calibri" w:hAnsi="Calibri"/>
                <w:color w:val="243447"/>
                <w:sz w:val="18"/>
              </w:rPr>
              <w:t>No accede directamente; recibe reportes exportados o capturas.</w:t>
            </w:r>
          </w:p>
        </w:tc>
      </w:tr>
      <w:tr>
        <w:trPr>
          <w:cantSplit/>
        </w:trPr>
        <w:tc>
          <w:tcPr>
            <w:tcW w:type="dxa" w:w="2150"/>
            <w:tcMar>
              <w:top w:w="80" w:type="dxa"/>
              <w:start w:w="120" w:type="dxa"/>
              <w:bottom w:w="80" w:type="dxa"/>
              <w:end w:w="120" w:type="dxa"/>
            </w:tcMar>
            <w:vAlign w:val="center"/>
          </w:tcPr>
          <w:p>
            <w:pPr>
              <w:spacing w:before="0" w:after="0" w:line="252" w:lineRule="auto"/>
              <w:jc w:val="left"/>
            </w:pPr>
            <w:r>
              <w:rPr>
                <w:rFonts w:ascii="Calibri" w:hAnsi="Calibri"/>
                <w:color w:val="243447"/>
                <w:sz w:val="18"/>
              </w:rPr>
              <w:t>Administrador futuro</w:t>
            </w:r>
          </w:p>
        </w:tc>
        <w:tc>
          <w:tcPr>
            <w:tcW w:type="dxa" w:w="3970"/>
            <w:tcMar>
              <w:top w:w="80" w:type="dxa"/>
              <w:start w:w="120" w:type="dxa"/>
              <w:bottom w:w="80" w:type="dxa"/>
              <w:end w:w="120" w:type="dxa"/>
            </w:tcMar>
            <w:vAlign w:val="center"/>
          </w:tcPr>
          <w:p>
            <w:pPr>
              <w:spacing w:before="0" w:after="0" w:line="252" w:lineRule="auto"/>
              <w:jc w:val="left"/>
            </w:pPr>
            <w:r>
              <w:rPr>
                <w:rFonts w:ascii="Calibri" w:hAnsi="Calibri"/>
                <w:color w:val="243447"/>
                <w:sz w:val="18"/>
              </w:rPr>
              <w:t>Configurar usuarios, permisos e integraciones.</w:t>
            </w:r>
          </w:p>
        </w:tc>
        <w:tc>
          <w:tcPr>
            <w:tcW w:type="dxa" w:w="3240"/>
            <w:tcMar>
              <w:top w:w="80" w:type="dxa"/>
              <w:start w:w="120" w:type="dxa"/>
              <w:bottom w:w="80" w:type="dxa"/>
              <w:end w:w="120" w:type="dxa"/>
            </w:tcMar>
            <w:vAlign w:val="center"/>
          </w:tcPr>
          <w:p>
            <w:pPr>
              <w:spacing w:before="0" w:after="0" w:line="252" w:lineRule="auto"/>
              <w:jc w:val="left"/>
            </w:pPr>
            <w:r>
              <w:rPr>
                <w:rFonts w:ascii="Calibri" w:hAnsi="Calibri"/>
                <w:color w:val="243447"/>
                <w:sz w:val="18"/>
              </w:rPr>
              <w:t>Fuera del MVP; contemplado en el diseño.</w:t>
            </w:r>
          </w:p>
        </w:tc>
      </w:tr>
    </w:tbl>
    <w:p>
      <w:pPr>
        <w:spacing w:after="0"/>
      </w:pPr>
    </w:p>
    <w:p>
      <w:pPr>
        <w:pStyle w:val="Heading1"/>
      </w:pPr>
      <w:r>
        <w:t>7. Flujo operativo propuesto</w:t>
      </w:r>
    </w:p>
    <w:p>
      <w:pPr>
        <w:pStyle w:val="BodyText"/>
        <w:numPr>
          <w:ilvl w:val="0"/>
          <w:numId w:val="92"/>
        </w:numPr>
      </w:pPr>
      <w:r>
        <w:rPr>
          <w:rFonts w:ascii="Calibri" w:hAnsi="Calibri"/>
          <w:color w:val="243447"/>
        </w:rPr>
        <w:t>Registrar o seleccionar el proyecto y el módulo afectado.</w:t>
      </w:r>
    </w:p>
    <w:p>
      <w:pPr>
        <w:pStyle w:val="BodyText"/>
        <w:numPr>
          <w:ilvl w:val="0"/>
          <w:numId w:val="92"/>
        </w:numPr>
      </w:pPr>
      <w:r>
        <w:rPr>
          <w:rFonts w:ascii="Calibri" w:hAnsi="Calibri"/>
          <w:color w:val="243447"/>
        </w:rPr>
        <w:t>Crear una release y agregar uno o más ítems de release con alcance claro.</w:t>
      </w:r>
    </w:p>
    <w:p>
      <w:pPr>
        <w:pStyle w:val="BodyText"/>
        <w:numPr>
          <w:ilvl w:val="0"/>
          <w:numId w:val="92"/>
        </w:numPr>
      </w:pPr>
      <w:r>
        <w:rPr>
          <w:rFonts w:ascii="Calibri" w:hAnsi="Calibri"/>
          <w:color w:val="243447"/>
        </w:rPr>
        <w:t>Registrar el estado de cada ítem por ambiente, incluyendo fecha, fuente, persona que confirma y evidencia opcional.</w:t>
      </w:r>
    </w:p>
    <w:p>
      <w:pPr>
        <w:pStyle w:val="BodyText"/>
        <w:numPr>
          <w:ilvl w:val="0"/>
          <w:numId w:val="92"/>
        </w:numPr>
      </w:pPr>
      <w:r>
        <w:rPr>
          <w:rFonts w:ascii="Calibri" w:hAnsi="Calibri"/>
          <w:color w:val="243447"/>
        </w:rPr>
        <w:t>Cuando el ítem llegue a Production, registrar por separado si está activo para clientes, para qué grupo y desde cuándo.</w:t>
      </w:r>
    </w:p>
    <w:p>
      <w:pPr>
        <w:pStyle w:val="BodyText"/>
        <w:numPr>
          <w:ilvl w:val="0"/>
          <w:numId w:val="92"/>
        </w:numPr>
      </w:pPr>
      <w:r>
        <w:rPr>
          <w:rFonts w:ascii="Calibri" w:hAnsi="Calibri"/>
          <w:color w:val="243447"/>
        </w:rPr>
        <w:t>Definir la siguiente acción. Si requiere coordinación, asignar responsable, contacto y fecha objetivo.</w:t>
      </w:r>
    </w:p>
    <w:p>
      <w:pPr>
        <w:pStyle w:val="BodyText"/>
        <w:numPr>
          <w:ilvl w:val="0"/>
          <w:numId w:val="92"/>
        </w:numPr>
      </w:pPr>
      <w:r>
        <w:rPr>
          <w:rFonts w:ascii="Calibri" w:hAnsi="Calibri"/>
          <w:color w:val="243447"/>
        </w:rPr>
        <w:t>Revisar el dashboard para atender vencimientos, bloqueos, información obsoleta y estados no confirmados.</w:t>
      </w:r>
    </w:p>
    <w:p>
      <w:pPr>
        <w:pStyle w:val="BodyText"/>
        <w:numPr>
          <w:ilvl w:val="0"/>
          <w:numId w:val="92"/>
        </w:numPr>
      </w:pPr>
      <w:r>
        <w:rPr>
          <w:rFonts w:ascii="Calibri" w:hAnsi="Calibri"/>
          <w:color w:val="243447"/>
        </w:rPr>
        <w:t>Cerrar el ítem solo cuando no existan acciones pendientes y el resultado esperado esté verificado.</w:t>
      </w:r>
    </w:p>
    <w:p>
      <w:pPr>
        <w:pStyle w:val="Callout"/>
        <w:shd w:fill="FFF4CC"/>
        <w:pBdr>
          <w:left w:val="single" w:sz="18" w:space="8" w:color="B7791F"/>
        </w:pBdr>
      </w:pPr>
      <w:r>
        <w:rPr>
          <w:rFonts w:ascii="Calibri" w:hAnsi="Calibri"/>
          <w:b/>
          <w:color w:val="17365D"/>
        </w:rPr>
        <w:t xml:space="preserve">REGLA OPERATIVA  </w:t>
      </w:r>
      <w:r>
        <w:rPr>
          <w:rFonts w:ascii="Calibri" w:hAnsi="Calibri"/>
          <w:color w:val="243447"/>
        </w:rPr>
        <w:t>Un estado sin fecha, fuente y confirmación es una hipótesis; una hipótesis debe producir una acción de verificación, no presentarse como hecho.</w:t>
      </w:r>
    </w:p>
    <w:p>
      <w:pPr>
        <w:pStyle w:val="Heading1"/>
      </w:pPr>
      <w:r>
        <w:t>8. Requerimientos funcionales</w:t>
      </w:r>
    </w:p>
    <w:p>
      <w:pPr>
        <w:pStyle w:val="BodyText"/>
      </w:pPr>
      <w:r>
        <w:rPr>
          <w:rFonts w:ascii="Calibri" w:hAnsi="Calibri"/>
          <w:i w:val="0"/>
          <w:color w:val="243447"/>
        </w:rPr>
        <w:t>Prioridades: Must = indispensable para aceptar el MVP; Should = importante si no compromete el piloto; Could = mejora opcional.</w:t>
      </w:r>
    </w:p>
    <w:p>
      <w:pPr>
        <w:pStyle w:val="Heading2"/>
      </w:pPr>
      <w:r>
        <w:t>8.1 Portafolio, proyectos y módulos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00"/>
        <w:gridCol w:w="4300"/>
        <w:gridCol w:w="1100"/>
        <w:gridCol w:w="3060"/>
      </w:tblGrid>
      <w:tr>
        <w:trPr>
          <w:tblHeader w:val="true"/>
        </w:trPr>
        <w:tc>
          <w:tcPr>
            <w:tcW w:type="dxa" w:w="9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ID</w:t>
            </w:r>
          </w:p>
        </w:tc>
        <w:tc>
          <w:tcPr>
            <w:tcW w:type="dxa" w:w="43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Requerimiento</w:t>
            </w:r>
          </w:p>
        </w:tc>
        <w:tc>
          <w:tcPr>
            <w:tcW w:type="dxa" w:w="11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Prioridad</w:t>
            </w:r>
          </w:p>
        </w:tc>
        <w:tc>
          <w:tcPr>
            <w:tcW w:type="dxa" w:w="30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Criterio resumido</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FR-001</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Crear, editar, archivar y consultar proyectos.</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Cada proyecto tiene nombre único, estado, descripción y responsable.</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FR-002</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Crear y organizar módulos dentro de un proyecto.</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Un módulo pertenece a un proyecto y puede tener múltiples releases.</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FR-003</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Mostrar Reports como proyecto piloto y permitir agregar AdminAPI, Dashboard, Invoicing y Fintrac.</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El modelo no depende de un único proyecto.</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FR-004</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Filtrar el portafolio por proyecto, estado, salud y responsable.</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Should</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Los filtros se combinan y pueden limpiarse.</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FR-005</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Impedir que Remittances se cargue en el baseline de Reports.</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Los datos semilla no incluyen ese proyecto o sus ítems.</w:t>
            </w:r>
          </w:p>
        </w:tc>
      </w:tr>
    </w:tbl>
    <w:p>
      <w:pPr>
        <w:spacing w:after="0"/>
      </w:pPr>
    </w:p>
    <w:p>
      <w:pPr>
        <w:pStyle w:val="Heading2"/>
      </w:pPr>
      <w:r>
        <w:t>8.2 Releases e ítems de release</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00"/>
        <w:gridCol w:w="4300"/>
        <w:gridCol w:w="1100"/>
        <w:gridCol w:w="3060"/>
      </w:tblGrid>
      <w:tr>
        <w:trPr>
          <w:tblHeader w:val="true"/>
        </w:trPr>
        <w:tc>
          <w:tcPr>
            <w:tcW w:type="dxa" w:w="9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ID</w:t>
            </w:r>
          </w:p>
        </w:tc>
        <w:tc>
          <w:tcPr>
            <w:tcW w:type="dxa" w:w="43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Requerimiento</w:t>
            </w:r>
          </w:p>
        </w:tc>
        <w:tc>
          <w:tcPr>
            <w:tcW w:type="dxa" w:w="11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Prioridad</w:t>
            </w:r>
          </w:p>
        </w:tc>
        <w:tc>
          <w:tcPr>
            <w:tcW w:type="dxa" w:w="30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Criterio resumido</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FR-010</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Crear releases con nombre, alcance, estado, owner, fechas estimadas y notas.</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La release se consulta con todos sus ítems y riesgos.</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FR-011</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Agregar múltiples ítems a una release.</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Cada ítem conserva su propio avance y siguiente acción.</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FR-012</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Relacionar un ítem con proyecto, módulo y release.</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No existen ítems huérfanos.</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FR-013</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Registrar clave y URL de Jira sin sincronización automática.</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El enlace es opcional y validado como URL.</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FR-014</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Registrar release notes o un enlace a ellas.</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El dashboard advierte si faltan antes de promover.</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FR-015</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Diferenciar alcance base de improvements.</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Pueden coexistir en ambientes diferentes.</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FR-016</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Archivar releases e ítems sin eliminación física.</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Lo archivado no aparece por defecto y mantiene historial.</w:t>
            </w:r>
          </w:p>
        </w:tc>
      </w:tr>
    </w:tbl>
    <w:p>
      <w:pPr>
        <w:spacing w:after="0"/>
      </w:pPr>
    </w:p>
    <w:p>
      <w:pPr>
        <w:pStyle w:val="Heading2"/>
      </w:pPr>
      <w:r>
        <w:t>8.3 Seguimiento por ambientes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00"/>
        <w:gridCol w:w="4300"/>
        <w:gridCol w:w="1100"/>
        <w:gridCol w:w="3060"/>
      </w:tblGrid>
      <w:tr>
        <w:trPr>
          <w:tblHeader w:val="true"/>
        </w:trPr>
        <w:tc>
          <w:tcPr>
            <w:tcW w:type="dxa" w:w="9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ID</w:t>
            </w:r>
          </w:p>
        </w:tc>
        <w:tc>
          <w:tcPr>
            <w:tcW w:type="dxa" w:w="43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Requerimiento</w:t>
            </w:r>
          </w:p>
        </w:tc>
        <w:tc>
          <w:tcPr>
            <w:tcW w:type="dxa" w:w="11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Prioridad</w:t>
            </w:r>
          </w:p>
        </w:tc>
        <w:tc>
          <w:tcPr>
            <w:tcW w:type="dxa" w:w="30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Criterio resumido</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FR-020</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Configurar ambientes y su orden por proyecto.</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MOJA, TATU, SITA y Production se crean como valores iniciales.</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FR-021</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Registrar estado de un ítem en cada ambiente.</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Cada ambiente muestra estado actual y última verificación.</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FR-022</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Registrar fecha, fuente, confirmado por y evidencia opcional.</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Los campos acompañan cada actualización relevante.</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FR-023</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Representar “no alcanzado”, “presente”, “en pruebas”, “aprobado”, “bloqueado” y “no confirmado”.</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No se limita a OK/X.</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FR-024</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Advertir sobre saltos de ambiente o inconsistencias sin bloquear el registro.</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Should</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El usuario puede guardar con justificación.</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FR-025</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Mostrar una matriz de ambientes por release o módulo.</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La vista conserva la rapidez visual de la matriz original.</w:t>
            </w:r>
          </w:p>
        </w:tc>
      </w:tr>
    </w:tbl>
    <w:p>
      <w:pPr>
        <w:spacing w:after="0"/>
      </w:pPr>
    </w:p>
    <w:p>
      <w:pPr>
        <w:pStyle w:val="Heading2"/>
      </w:pPr>
      <w:r>
        <w:t>8.4 Producción y activación de clientes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00"/>
        <w:gridCol w:w="4300"/>
        <w:gridCol w:w="1100"/>
        <w:gridCol w:w="3060"/>
      </w:tblGrid>
      <w:tr>
        <w:trPr>
          <w:tblHeader w:val="true"/>
        </w:trPr>
        <w:tc>
          <w:tcPr>
            <w:tcW w:type="dxa" w:w="9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ID</w:t>
            </w:r>
          </w:p>
        </w:tc>
        <w:tc>
          <w:tcPr>
            <w:tcW w:type="dxa" w:w="43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Requerimiento</w:t>
            </w:r>
          </w:p>
        </w:tc>
        <w:tc>
          <w:tcPr>
            <w:tcW w:type="dxa" w:w="11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Prioridad</w:t>
            </w:r>
          </w:p>
        </w:tc>
        <w:tc>
          <w:tcPr>
            <w:tcW w:type="dxa" w:w="30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Criterio resumido</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FR-030</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Registrar despliegue en Production como hecho técnico independiente.</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Incluye fecha y confirmación.</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FR-031</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Registrar estado de activación para clientes.</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Valores mínimos: no aplica, no confirmado, no activo, parcial, activo.</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FR-032</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Registrar grupo o plan habilitado cuando la activación sea parcial.</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Should</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El detalle queda visible en la release.</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FR-033</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Generar alerta cuando exista despliegue sin activación confirmada.</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Aparece en dashboard y detalle del ítem.</w:t>
            </w:r>
          </w:p>
        </w:tc>
      </w:tr>
    </w:tbl>
    <w:p>
      <w:pPr>
        <w:spacing w:after="0"/>
      </w:pPr>
    </w:p>
    <w:p>
      <w:r>
        <w:br w:type="page"/>
      </w:r>
    </w:p>
    <w:p>
      <w:pPr>
        <w:pStyle w:val="Heading2"/>
      </w:pPr>
      <w:r>
        <w:t>8.5 Seguimientos, alertas e historial</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00"/>
        <w:gridCol w:w="4300"/>
        <w:gridCol w:w="1100"/>
        <w:gridCol w:w="3060"/>
      </w:tblGrid>
      <w:tr>
        <w:trPr>
          <w:tblHeader w:val="true"/>
        </w:trPr>
        <w:tc>
          <w:tcPr>
            <w:tcW w:type="dxa" w:w="9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ID</w:t>
            </w:r>
          </w:p>
        </w:tc>
        <w:tc>
          <w:tcPr>
            <w:tcW w:type="dxa" w:w="43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Requerimiento</w:t>
            </w:r>
          </w:p>
        </w:tc>
        <w:tc>
          <w:tcPr>
            <w:tcW w:type="dxa" w:w="11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Prioridad</w:t>
            </w:r>
          </w:p>
        </w:tc>
        <w:tc>
          <w:tcPr>
            <w:tcW w:type="dxa" w:w="30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Criterio resumido</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FR-040</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Registrar siguiente acción para todo ítem abierto.</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El sistema resalta los ítems sin siguiente acción.</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FR-041</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Crear seguimientos con owner, contacto, fecha objetivo, estado y notas.</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Pueden cerrarse con resultado y fecha.</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FR-042</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Mostrar alertas por vencimiento y datos obsoletos.</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Se calculan al abrir o refrescar la aplicación.</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FR-043</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Mostrar alertas por release notes faltantes y promociones no planificadas.</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Should</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La regla es configurable o puede desactivarse.</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FR-044</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Registrar historial automático de cambios de estado y campos críticos.</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Incluye antes/después, fecha y autor lógico.</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FR-045</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Impedir la edición ordinaria del historial.</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Solo se agregan eventos; no se sobrescriben.</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FR-046</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Filtrar seguimientos por vencimiento, owner, proyecto y estado.</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La lista permite priorizar el trabajo diario.</w:t>
            </w:r>
          </w:p>
        </w:tc>
      </w:tr>
    </w:tbl>
    <w:p>
      <w:pPr>
        <w:spacing w:after="0"/>
      </w:pPr>
    </w:p>
    <w:p>
      <w:pPr>
        <w:pStyle w:val="Heading2"/>
      </w:pPr>
      <w:r>
        <w:t>8.6 Dashboard, búsqueda y exportación</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00"/>
        <w:gridCol w:w="4300"/>
        <w:gridCol w:w="1100"/>
        <w:gridCol w:w="3060"/>
      </w:tblGrid>
      <w:tr>
        <w:trPr>
          <w:tblHeader w:val="true"/>
        </w:trPr>
        <w:tc>
          <w:tcPr>
            <w:tcW w:type="dxa" w:w="9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ID</w:t>
            </w:r>
          </w:p>
        </w:tc>
        <w:tc>
          <w:tcPr>
            <w:tcW w:type="dxa" w:w="43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Requerimiento</w:t>
            </w:r>
          </w:p>
        </w:tc>
        <w:tc>
          <w:tcPr>
            <w:tcW w:type="dxa" w:w="11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Prioridad</w:t>
            </w:r>
          </w:p>
        </w:tc>
        <w:tc>
          <w:tcPr>
            <w:tcW w:type="dxa" w:w="30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Criterio resumido</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FR-050</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Mostrar KPIs de releases activas, bloqueos, vencidos y activación no confirmada.</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Los conteos enlazan al detalle filtrado.</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FR-051</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Calcular y mostrar salud de proyecto e ítem.</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Se aplican las reglas definidas en la sección 11.</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FR-052</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Ofrecer búsqueda global por proyecto, módulo, release, ítem o Jira.</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Should</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Los resultados abren el registro correspondiente.</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FR-053</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Exportar vistas a Excel o CSV.</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Should</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La exportación conserva filtros y nombres de columnas.</w:t>
            </w:r>
          </w:p>
        </w:tc>
      </w:tr>
      <w:tr>
        <w:trPr>
          <w:cantSplit/>
        </w:trPr>
        <w:tc>
          <w:tcPr>
            <w:tcW w:type="dxa" w:w="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FR-054</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Mostrar la fecha de última actualización del dashboard.</w:t>
            </w:r>
          </w:p>
        </w:tc>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Must</w:t>
            </w:r>
          </w:p>
        </w:tc>
        <w:tc>
          <w:tcPr>
            <w:tcW w:type="dxa" w:w="30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El usuario distingue datos actuales de una captura antigua.</w:t>
            </w:r>
          </w:p>
        </w:tc>
      </w:tr>
    </w:tbl>
    <w:p>
      <w:pPr>
        <w:spacing w:after="0"/>
      </w:pPr>
    </w:p>
    <w:p>
      <w:pPr>
        <w:pStyle w:val="Heading1"/>
      </w:pPr>
      <w:r>
        <w:t>9. Pantallas del MVP</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800"/>
        <w:gridCol w:w="4300"/>
        <w:gridCol w:w="3260"/>
      </w:tblGrid>
      <w:tr>
        <w:trPr>
          <w:tblHeader w:val="true"/>
        </w:trPr>
        <w:tc>
          <w:tcPr>
            <w:tcW w:type="dxa" w:w="18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Pantalla</w:t>
            </w:r>
          </w:p>
        </w:tc>
        <w:tc>
          <w:tcPr>
            <w:tcW w:type="dxa" w:w="43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Contenido principal</w:t>
            </w:r>
          </w:p>
        </w:tc>
        <w:tc>
          <w:tcPr>
            <w:tcW w:type="dxa" w:w="32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Acciones clave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Dashboard</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KPIs, salud por proyecto, alertas y próximos seguimientos.</w:t>
            </w:r>
          </w:p>
        </w:tc>
        <w:tc>
          <w:tcPr>
            <w:tcW w:type="dxa" w:w="32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Filtrar, navegar al detalle, marcar seguimiento atendido.</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Proyectos</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Listado y ficha de proyecto con módulos y responsables.</w:t>
            </w:r>
          </w:p>
        </w:tc>
        <w:tc>
          <w:tcPr>
            <w:tcW w:type="dxa" w:w="32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Crear, editar, archivar, abrir módulos.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Módulo</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Releases, ítems activos, riesgos y estado por ambiente.</w:t>
            </w:r>
          </w:p>
        </w:tc>
        <w:tc>
          <w:tcPr>
            <w:tcW w:type="dxa" w:w="32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Crear release, consultar historial.</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Release</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Alcance, ítems, fechas, release notes y Jira.</w:t>
            </w:r>
          </w:p>
        </w:tc>
        <w:tc>
          <w:tcPr>
            <w:tcW w:type="dxa" w:w="32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Editar, agregar ítems, promover estado.</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Ítem de release</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Matriz por ambientes, producción, activación y acciones.</w:t>
            </w:r>
          </w:p>
        </w:tc>
        <w:tc>
          <w:tcPr>
            <w:tcW w:type="dxa" w:w="32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Actualizar estado, adjuntar evidencia, crear seguimiento.</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Seguimientos</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Bandeja de pendientes ordenada por fecha y prioridad.</w:t>
            </w:r>
          </w:p>
        </w:tc>
        <w:tc>
          <w:tcPr>
            <w:tcW w:type="dxa" w:w="32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Filtrar, reasignar, cerrar con resultado.</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Historial</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Línea de tiempo de cambios relevantes.</w:t>
            </w:r>
          </w:p>
        </w:tc>
        <w:tc>
          <w:tcPr>
            <w:tcW w:type="dxa" w:w="32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Consultar y filtrar; sin edición ordinaria.</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Configuración</w:t>
            </w:r>
          </w:p>
        </w:tc>
        <w:tc>
          <w:tcPr>
            <w:tcW w:type="dxa" w:w="43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Ambientes, estados, prioridades y umbrales.</w:t>
            </w:r>
          </w:p>
        </w:tc>
        <w:tc>
          <w:tcPr>
            <w:tcW w:type="dxa" w:w="32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Crear, ordenar, activar o desactivar valores.</w:t>
            </w:r>
          </w:p>
        </w:tc>
      </w:tr>
    </w:tbl>
    <w:p>
      <w:pPr>
        <w:spacing w:after="0"/>
      </w:pPr>
    </w:p>
    <w:p>
      <w:pPr>
        <w:pStyle w:val="Heading1"/>
      </w:pPr>
      <w:r>
        <w:t>10. Modelo conceptual de datos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900"/>
        <w:gridCol w:w="2900"/>
        <w:gridCol w:w="4560"/>
      </w:tblGrid>
      <w:tr>
        <w:trPr>
          <w:tblHeader w:val="true"/>
        </w:trPr>
        <w:tc>
          <w:tcPr>
            <w:tcW w:type="dxa" w:w="19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Entidad</w:t>
            </w:r>
          </w:p>
        </w:tc>
        <w:tc>
          <w:tcPr>
            <w:tcW w:type="dxa" w:w="29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Propósito</w:t>
            </w:r>
          </w:p>
        </w:tc>
        <w:tc>
          <w:tcPr>
            <w:tcW w:type="dxa" w:w="45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Campos principales</w:t>
            </w:r>
          </w:p>
        </w:tc>
      </w:tr>
      <w:tr>
        <w:trPr>
          <w:cantSplit/>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Project</w:t>
            </w:r>
          </w:p>
        </w:tc>
        <w:tc>
          <w:tcPr>
            <w:tcW w:type="dxa" w:w="2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Agrupa la responsabilidad de negocio.</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id, name, description, status, owner, archived_at</w:t>
            </w:r>
          </w:p>
        </w:tc>
      </w:tr>
      <w:tr>
        <w:trPr>
          <w:cantSplit/>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Module</w:t>
            </w:r>
          </w:p>
        </w:tc>
        <w:tc>
          <w:tcPr>
            <w:tcW w:type="dxa" w:w="2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Subdivide un proyecto en productos o áreas funcionales.</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id, project_id, name, description, owner</w:t>
            </w:r>
          </w:p>
        </w:tc>
      </w:tr>
      <w:tr>
        <w:trPr>
          <w:cantSplit/>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Release</w:t>
            </w:r>
          </w:p>
        </w:tc>
        <w:tc>
          <w:tcPr>
            <w:tcW w:type="dxa" w:w="2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Agrupa cambios que se planea promover conjuntamente.</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id, module_id, name, scope, status, target_date, notes_url</w:t>
            </w:r>
          </w:p>
        </w:tc>
      </w:tr>
      <w:tr>
        <w:trPr>
          <w:cantSplit/>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ReleaseItem</w:t>
            </w:r>
          </w:p>
        </w:tc>
        <w:tc>
          <w:tcPr>
            <w:tcW w:type="dxa" w:w="2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Unidad mínima de seguimiento desplegable.</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id, release_id, title, type, priority, jira_key, next_action</w:t>
            </w:r>
          </w:p>
        </w:tc>
      </w:tr>
      <w:tr>
        <w:trPr>
          <w:cantSplit/>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Environment</w:t>
            </w:r>
          </w:p>
        </w:tc>
        <w:tc>
          <w:tcPr>
            <w:tcW w:type="dxa" w:w="2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Define un ambiente y su orden.</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id, project_id/null, name, sequence, active</w:t>
            </w:r>
          </w:p>
        </w:tc>
      </w:tr>
      <w:tr>
        <w:trPr>
          <w:cantSplit/>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EnvironmentStatus</w:t>
            </w:r>
          </w:p>
        </w:tc>
        <w:tc>
          <w:tcPr>
            <w:tcW w:type="dxa" w:w="2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Estado de un ítem en un ambiente.</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release_item_id, environment_id, status, verified_at, source, confirmed_by</w:t>
            </w:r>
          </w:p>
        </w:tc>
      </w:tr>
      <w:tr>
        <w:trPr>
          <w:cantSplit/>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ClientActivation</w:t>
            </w:r>
          </w:p>
        </w:tc>
        <w:tc>
          <w:tcPr>
            <w:tcW w:type="dxa" w:w="2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Disponibilidad real para clientes.</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release_item_id, status, scope, activated_at, confirmed_by</w:t>
            </w:r>
          </w:p>
        </w:tc>
      </w:tr>
      <w:tr>
        <w:trPr>
          <w:cantSplit/>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FollowUp</w:t>
            </w:r>
          </w:p>
        </w:tc>
        <w:tc>
          <w:tcPr>
            <w:tcW w:type="dxa" w:w="2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Acción de coordinación pendiente.</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release_item_id, action, owner, contact, due_date, status, outcome</w:t>
            </w:r>
          </w:p>
        </w:tc>
      </w:tr>
      <w:tr>
        <w:trPr>
          <w:cantSplit/>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Evidence</w:t>
            </w:r>
          </w:p>
        </w:tc>
        <w:tc>
          <w:tcPr>
            <w:tcW w:type="dxa" w:w="2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Referencia que sustenta una confirmación.</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type, url/path, description, captured_at</w:t>
            </w:r>
          </w:p>
        </w:tc>
      </w:tr>
      <w:tr>
        <w:trPr>
          <w:cantSplit/>
        </w:trPr>
        <w:tc>
          <w:tcPr>
            <w:tcW w:type="dxa" w:w="1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AuditEvent</w:t>
            </w:r>
          </w:p>
        </w:tc>
        <w:tc>
          <w:tcPr>
            <w:tcW w:type="dxa" w:w="29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Historial de cambios críticos.</w:t>
            </w:r>
          </w:p>
        </w:tc>
        <w:tc>
          <w:tcPr>
            <w:tcW w:type="dxa" w:w="45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entity_type, entity_id, field, old_value, new_value, actor, occurred_at</w:t>
            </w:r>
          </w:p>
        </w:tc>
      </w:tr>
    </w:tbl>
    <w:p>
      <w:pPr>
        <w:spacing w:after="0"/>
      </w:pPr>
    </w:p>
    <w:p>
      <w:pPr>
        <w:pStyle w:val="Heading2"/>
      </w:pPr>
      <w:r>
        <w:t>10.1 Relaciones esenciales</w:t>
      </w:r>
    </w:p>
    <w:p>
      <w:pPr>
        <w:pStyle w:val="BodyText"/>
        <w:numPr>
          <w:ilvl w:val="0"/>
          <w:numId w:val="91"/>
        </w:numPr>
      </w:pPr>
      <w:r>
        <w:rPr>
          <w:rFonts w:ascii="Calibri" w:hAnsi="Calibri"/>
          <w:color w:val="243447"/>
        </w:rPr>
        <w:t>Un Project contiene muchos Module.</w:t>
      </w:r>
    </w:p>
    <w:p>
      <w:pPr>
        <w:pStyle w:val="BodyText"/>
        <w:numPr>
          <w:ilvl w:val="0"/>
          <w:numId w:val="91"/>
        </w:numPr>
      </w:pPr>
      <w:r>
        <w:rPr>
          <w:rFonts w:ascii="Calibri" w:hAnsi="Calibri"/>
          <w:color w:val="243447"/>
        </w:rPr>
        <w:t>Un Module contiene muchas Release; una Release contiene muchos ReleaseItem.</w:t>
      </w:r>
    </w:p>
    <w:p>
      <w:pPr>
        <w:pStyle w:val="BodyText"/>
        <w:numPr>
          <w:ilvl w:val="0"/>
          <w:numId w:val="91"/>
        </w:numPr>
      </w:pPr>
      <w:r>
        <w:rPr>
          <w:rFonts w:ascii="Calibri" w:hAnsi="Calibri"/>
          <w:color w:val="243447"/>
        </w:rPr>
        <w:t>Un ReleaseItem tiene un estado por cada Environment aplicable.</w:t>
      </w:r>
    </w:p>
    <w:p>
      <w:pPr>
        <w:pStyle w:val="BodyText"/>
        <w:numPr>
          <w:ilvl w:val="0"/>
          <w:numId w:val="91"/>
        </w:numPr>
      </w:pPr>
      <w:r>
        <w:rPr>
          <w:rFonts w:ascii="Calibri" w:hAnsi="Calibri"/>
          <w:color w:val="243447"/>
        </w:rPr>
        <w:t>Un ReleaseItem puede tener una activación de clientes, múltiples FollowUp, Evidence y AuditEvent.</w:t>
      </w:r>
    </w:p>
    <w:p>
      <w:pPr>
        <w:pStyle w:val="BodyText"/>
        <w:numPr>
          <w:ilvl w:val="0"/>
          <w:numId w:val="91"/>
        </w:numPr>
      </w:pPr>
      <w:r>
        <w:rPr>
          <w:rFonts w:ascii="Calibri" w:hAnsi="Calibri"/>
          <w:color w:val="243447"/>
        </w:rPr>
        <w:t>Los identificadores serán estables y no dependerán del nombre visible del registro.</w:t>
      </w:r>
    </w:p>
    <w:p>
      <w:pPr>
        <w:pStyle w:val="Heading1"/>
      </w:pPr>
      <w:r>
        <w:t>11. Reglas de negocio y salud</w:t>
      </w:r>
    </w:p>
    <w:p>
      <w:pPr>
        <w:pStyle w:val="Heading2"/>
      </w:pPr>
      <w:r>
        <w:t>11.1 Reglas de negocio</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200"/>
        <w:gridCol w:w="8160"/>
      </w:tblGrid>
      <w:tr>
        <w:trPr>
          <w:tblHeader w:val="true"/>
        </w:trPr>
        <w:tc>
          <w:tcPr>
            <w:tcW w:type="dxa" w:w="12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ID</w:t>
            </w:r>
          </w:p>
        </w:tc>
        <w:tc>
          <w:tcPr>
            <w:tcW w:type="dxa" w:w="81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Regla</w:t>
            </w:r>
          </w:p>
        </w:tc>
      </w:tr>
      <w:tr>
        <w:trPr>
          <w:cantSplit/>
        </w:trPr>
        <w:tc>
          <w:tcPr>
            <w:tcW w:type="dxa" w:w="12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BR-001</w:t>
            </w:r>
          </w:p>
        </w:tc>
        <w:tc>
          <w:tcPr>
            <w:tcW w:type="dxa" w:w="81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Production desplegado no implica activación para clientes.</w:t>
            </w:r>
          </w:p>
        </w:tc>
      </w:tr>
      <w:tr>
        <w:trPr>
          <w:cantSplit/>
        </w:trPr>
        <w:tc>
          <w:tcPr>
            <w:tcW w:type="dxa" w:w="12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BR-002</w:t>
            </w:r>
          </w:p>
        </w:tc>
        <w:tc>
          <w:tcPr>
            <w:tcW w:type="dxa" w:w="81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Cada actualización de ambiente requiere fecha, fuente y confirmado por.</w:t>
            </w:r>
          </w:p>
        </w:tc>
      </w:tr>
      <w:tr>
        <w:trPr>
          <w:cantSplit/>
        </w:trPr>
        <w:tc>
          <w:tcPr>
            <w:tcW w:type="dxa" w:w="12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BR-003</w:t>
            </w:r>
          </w:p>
        </w:tc>
        <w:tc>
          <w:tcPr>
            <w:tcW w:type="dxa" w:w="81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Todo ítem abierto debe tener siguiente acción; si depende de alguien, debe existir seguimiento con owner y fecha.</w:t>
            </w:r>
          </w:p>
        </w:tc>
      </w:tr>
      <w:tr>
        <w:trPr>
          <w:cantSplit/>
        </w:trPr>
        <w:tc>
          <w:tcPr>
            <w:tcW w:type="dxa" w:w="12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BR-004</w:t>
            </w:r>
          </w:p>
        </w:tc>
        <w:tc>
          <w:tcPr>
            <w:tcW w:type="dxa" w:w="81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Un mismo release puede contener ítems en ambientes diferentes.</w:t>
            </w:r>
          </w:p>
        </w:tc>
      </w:tr>
      <w:tr>
        <w:trPr>
          <w:cantSplit/>
        </w:trPr>
        <w:tc>
          <w:tcPr>
            <w:tcW w:type="dxa" w:w="12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BR-005</w:t>
            </w:r>
          </w:p>
        </w:tc>
        <w:tc>
          <w:tcPr>
            <w:tcW w:type="dxa" w:w="81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El alcance base y sus improvements deben registrarse como ítems separados cuando su estado difiera.</w:t>
            </w:r>
          </w:p>
        </w:tc>
      </w:tr>
      <w:tr>
        <w:trPr>
          <w:cantSplit/>
        </w:trPr>
        <w:tc>
          <w:tcPr>
            <w:tcW w:type="dxa" w:w="12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BR-006</w:t>
            </w:r>
          </w:p>
        </w:tc>
        <w:tc>
          <w:tcPr>
            <w:tcW w:type="dxa" w:w="81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Los ambientes son configurables y conservan un orden de promoción.</w:t>
            </w:r>
          </w:p>
        </w:tc>
      </w:tr>
      <w:tr>
        <w:trPr>
          <w:cantSplit/>
        </w:trPr>
        <w:tc>
          <w:tcPr>
            <w:tcW w:type="dxa" w:w="12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BR-007</w:t>
            </w:r>
          </w:p>
        </w:tc>
        <w:tc>
          <w:tcPr>
            <w:tcW w:type="dxa" w:w="81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Los cambios de estado generan un evento de auditoría.</w:t>
            </w:r>
          </w:p>
        </w:tc>
      </w:tr>
      <w:tr>
        <w:trPr>
          <w:cantSplit/>
        </w:trPr>
        <w:tc>
          <w:tcPr>
            <w:tcW w:type="dxa" w:w="12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BR-008</w:t>
            </w:r>
          </w:p>
        </w:tc>
        <w:tc>
          <w:tcPr>
            <w:tcW w:type="dxa" w:w="81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No existe borrado físico ordinario; se utiliza archivo lógico.</w:t>
            </w:r>
          </w:p>
        </w:tc>
      </w:tr>
      <w:tr>
        <w:trPr>
          <w:cantSplit/>
        </w:trPr>
        <w:tc>
          <w:tcPr>
            <w:tcW w:type="dxa" w:w="12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BR-009</w:t>
            </w:r>
          </w:p>
        </w:tc>
        <w:tc>
          <w:tcPr>
            <w:tcW w:type="dxa" w:w="81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Remittances no pertenece al portafolio inicial de este MVP.</w:t>
            </w:r>
          </w:p>
        </w:tc>
      </w:tr>
      <w:tr>
        <w:trPr>
          <w:cantSplit/>
        </w:trPr>
        <w:tc>
          <w:tcPr>
            <w:tcW w:type="dxa" w:w="12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BR-010</w:t>
            </w:r>
          </w:p>
        </w:tc>
        <w:tc>
          <w:tcPr>
            <w:tcW w:type="dxa" w:w="81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Las fechas se almacenan en UTC y se muestran en la zona horaria configurada.</w:t>
            </w:r>
          </w:p>
        </w:tc>
      </w:tr>
    </w:tbl>
    <w:p>
      <w:pPr>
        <w:spacing w:after="0"/>
      </w:pPr>
    </w:p>
    <w:p>
      <w:pPr>
        <w:pStyle w:val="Heading2"/>
      </w:pPr>
      <w:r>
        <w:t>11.2 Estados de salud</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800"/>
        <w:gridCol w:w="5660"/>
        <w:gridCol w:w="1900"/>
      </w:tblGrid>
      <w:tr>
        <w:trPr>
          <w:tblHeader w:val="true"/>
        </w:trPr>
        <w:tc>
          <w:tcPr>
            <w:tcW w:type="dxa" w:w="18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Salud</w:t>
            </w:r>
          </w:p>
        </w:tc>
        <w:tc>
          <w:tcPr>
            <w:tcW w:type="dxa" w:w="56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Condición</w:t>
            </w:r>
          </w:p>
        </w:tc>
        <w:tc>
          <w:tcPr>
            <w:tcW w:type="dxa" w:w="19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Precedencia</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Blocked</w:t>
            </w:r>
          </w:p>
        </w:tc>
        <w:tc>
          <w:tcPr>
            <w:tcW w:type="dxa" w:w="56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Existe un bloqueo activo.</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1 — máxima</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Overdue</w:t>
            </w:r>
          </w:p>
        </w:tc>
        <w:tc>
          <w:tcPr>
            <w:tcW w:type="dxa" w:w="56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Existe un seguimiento abierto con fecha vencida.</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2</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Needs Follow-up</w:t>
            </w:r>
          </w:p>
        </w:tc>
        <w:tc>
          <w:tcPr>
            <w:tcW w:type="dxa" w:w="56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Production o activación para clientes no están confirmados.</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3</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Action Required</w:t>
            </w:r>
          </w:p>
        </w:tc>
        <w:tc>
          <w:tcPr>
            <w:tcW w:type="dxa" w:w="56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Falta siguiente acción, owner, fecha o release notes requerida.</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4</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In Progress</w:t>
            </w:r>
          </w:p>
        </w:tc>
        <w:tc>
          <w:tcPr>
            <w:tcW w:type="dxa" w:w="56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Existe desarrollo, merge, pruebas o promoción activa.</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5</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On Track</w:t>
            </w:r>
          </w:p>
        </w:tc>
        <w:tc>
          <w:tcPr>
            <w:tcW w:type="dxa" w:w="56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No existen excepciones activas y el trabajo avanza según lo esperado.</w:t>
            </w:r>
          </w:p>
        </w:tc>
        <w:tc>
          <w:tcPr>
            <w:tcW w:type="dxa" w:w="19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6</w:t>
            </w:r>
          </w:p>
        </w:tc>
      </w:tr>
    </w:tbl>
    <w:p>
      <w:pPr>
        <w:spacing w:after="0"/>
      </w:pPr>
    </w:p>
    <w:p>
      <w:pPr>
        <w:pStyle w:val="Callout"/>
        <w:shd w:fill="F2F4F7"/>
        <w:pBdr>
          <w:left w:val="single" w:sz="18" w:space="8" w:color="667085"/>
        </w:pBdr>
      </w:pPr>
      <w:r>
        <w:rPr>
          <w:rFonts w:ascii="Calibri" w:hAnsi="Calibri"/>
          <w:b/>
          <w:color w:val="17365D"/>
        </w:rPr>
        <w:t xml:space="preserve">CRITERIO  </w:t>
      </w:r>
      <w:r>
        <w:rPr>
          <w:rFonts w:ascii="Calibri" w:hAnsi="Calibri"/>
          <w:color w:val="243447"/>
        </w:rPr>
        <w:t>Cuando se cumplan varias condiciones, se mostrará la de mayor precedencia. El detalle conservará todas las alertas activas.</w:t>
      </w:r>
    </w:p>
    <w:p>
      <w:r>
        <w:br w:type="page"/>
      </w:r>
    </w:p>
    <w:p>
      <w:pPr>
        <w:pStyle w:val="Heading1"/>
      </w:pPr>
      <w:r>
        <w:t>12. Requerimientos no funcionales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100"/>
        <w:gridCol w:w="2800"/>
        <w:gridCol w:w="5460"/>
      </w:tblGrid>
      <w:tr>
        <w:trPr>
          <w:tblHeader w:val="true"/>
        </w:trPr>
        <w:tc>
          <w:tcPr>
            <w:tcW w:type="dxa" w:w="11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ID</w:t>
            </w:r>
          </w:p>
        </w:tc>
        <w:tc>
          <w:tcPr>
            <w:tcW w:type="dxa" w:w="28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Requerimiento</w:t>
            </w:r>
          </w:p>
        </w:tc>
        <w:tc>
          <w:tcPr>
            <w:tcW w:type="dxa" w:w="54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Objetivo verificable</w:t>
            </w:r>
          </w:p>
        </w:tc>
      </w:tr>
      <w:tr>
        <w:trPr>
          <w:cantSplit/>
        </w:trPr>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NFR-001</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Ejecución local</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Frontend, API y base de datos arrancan en la máquina del usuario con instrucciones reproducibles.</w:t>
            </w:r>
          </w:p>
        </w:tc>
      </w:tr>
      <w:tr>
        <w:trPr>
          <w:cantSplit/>
        </w:trPr>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NFR-002</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Arquitectura</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Angular consume una API REST Laravel; MySQL es la persistencia principal.</w:t>
            </w:r>
          </w:p>
        </w:tc>
      </w:tr>
      <w:tr>
        <w:trPr>
          <w:cantSplit/>
        </w:trPr>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NFR-003</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Configuración segura</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Credenciales y parámetros se mantienen en .env y no se versionan.</w:t>
            </w:r>
          </w:p>
        </w:tc>
      </w:tr>
      <w:tr>
        <w:trPr>
          <w:cantSplit/>
        </w:trPr>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NFR-004</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Rendimiento local</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Las vistas principales responden en menos de 2 segundos con el volumen esperado del piloto.</w:t>
            </w:r>
          </w:p>
        </w:tc>
      </w:tr>
      <w:tr>
        <w:trPr>
          <w:cantSplit/>
        </w:trPr>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NFR-005</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Integridad</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Migraciones, llaves foráneas, validación de datos y transacciones protegen relaciones críticas.</w:t>
            </w:r>
          </w:p>
        </w:tc>
      </w:tr>
      <w:tr>
        <w:trPr>
          <w:cantSplit/>
        </w:trPr>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NFR-006</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Respaldo</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Existe un procedimiento documentado para exportar y restaurar la base de datos.</w:t>
            </w:r>
          </w:p>
        </w:tc>
      </w:tr>
    </w:tbl>
    <w:p>
      <w:pPr>
        <w:spacing w:after="0"/>
      </w:pPr>
    </w:p>
    <w:p>
      <w:r>
        <w:br w:type="page"/>
      </w:r>
    </w:p>
    <w:p>
      <w:pPr>
        <w:pStyle w:val="Heading2"/>
      </w:pPr>
      <w:r>
        <w:t>12.1 Requerimientos no funcionales — continuación</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100"/>
        <w:gridCol w:w="2800"/>
        <w:gridCol w:w="5460"/>
      </w:tblGrid>
      <w:tr>
        <w:trPr>
          <w:tblHeader w:val="true"/>
        </w:trPr>
        <w:tc>
          <w:tcPr>
            <w:tcW w:type="dxa" w:w="11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ID</w:t>
            </w:r>
          </w:p>
        </w:tc>
        <w:tc>
          <w:tcPr>
            <w:tcW w:type="dxa" w:w="28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Requerimiento</w:t>
            </w:r>
          </w:p>
        </w:tc>
        <w:tc>
          <w:tcPr>
            <w:tcW w:type="dxa" w:w="54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Objetivo verificable</w:t>
            </w:r>
          </w:p>
        </w:tc>
      </w:tr>
      <w:tr>
        <w:trPr>
          <w:cantSplit/>
        </w:trPr>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NFR-007</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Auditabilidad</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Los eventos críticos no se eliminan ni sobrescriben por flujos normales.</w:t>
            </w:r>
          </w:p>
        </w:tc>
      </w:tr>
      <w:tr>
        <w:trPr>
          <w:cantSplit/>
        </w:trPr>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NFR-008</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Usabilidad</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Diseño desktop-first, navegación consistente, etiquetas claras y validaciones accionables.</w:t>
            </w:r>
          </w:p>
        </w:tc>
      </w:tr>
      <w:tr>
        <w:trPr>
          <w:cantSplit/>
        </w:trPr>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NFR-009</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Calidad</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Pruebas automatizadas cubren reglas de salud, transiciones, permisos futuros y endpoints críticos.</w:t>
            </w:r>
          </w:p>
        </w:tc>
      </w:tr>
      <w:tr>
        <w:trPr>
          <w:cantSplit/>
        </w:trPr>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NFR-010</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Observabilidad</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Laravel registra errores y operaciones fallidas sin exponer secretos.</w:t>
            </w:r>
          </w:p>
        </w:tc>
      </w:tr>
      <w:tr>
        <w:trPr>
          <w:cantSplit/>
        </w:trPr>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NFR-011</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Privacidad</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No se almacenan datos sensibles de clientes ni credenciales de sistemas externos.</w:t>
            </w:r>
          </w:p>
        </w:tc>
      </w:tr>
      <w:tr>
        <w:trPr>
          <w:cantSplit/>
        </w:trPr>
        <w:tc>
          <w:tcPr>
            <w:tcW w:type="dxa" w:w="11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NFR-012</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Portabilidad futura</w:t>
            </w:r>
          </w:p>
        </w:tc>
        <w:tc>
          <w:tcPr>
            <w:tcW w:type="dxa" w:w="54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IDs estables, API desacoplada y almacenamiento abstraído facilitan migración a hosting compartido.</w:t>
            </w:r>
          </w:p>
        </w:tc>
      </w:tr>
    </w:tbl>
    <w:p>
      <w:pPr>
        <w:spacing w:after="0"/>
      </w:pPr>
    </w:p>
    <w:p>
      <w:r>
        <w:br w:type="page"/>
      </w:r>
    </w:p>
    <w:p>
      <w:pPr>
        <w:pStyle w:val="Heading1"/>
      </w:pPr>
      <w:r>
        <w:t>13. Arquitectura propuesta del MVP</w:t>
      </w:r>
    </w:p>
    <w:p>
      <w:pPr>
        <w:pStyle w:val="BodyText"/>
      </w:pPr>
      <w:r>
        <w:rPr>
          <w:rFonts w:ascii="Calibri" w:hAnsi="Calibri"/>
          <w:i w:val="0"/>
          <w:color w:val="243447"/>
        </w:rPr>
        <w:t>La arquitectura usa tecnologías ya conocidas por el usuario y mantiene una separación suficiente para que la interfaz, las reglas de negocio y la persistencia puedan evolucionar de forma independiente.</w:t>
      </w:r>
    </w:p>
    <w:tbl>
      <w:tblPr>
        <w:tblW w:type="dxa" w:w="9360"/>
        <w:jc w:val="left"/>
        <w:tblLayout w:type="fixed"/>
        <w:tblLook w:firstColumn="1" w:firstRow="1" w:lastColumn="0" w:lastRow="0" w:noHBand="0" w:noVBand="1" w:val="04A0"/>
        <w:tblInd w:w="120" w:type="dxa"/>
        <w:tblBorders>
          <w:top w:val="single" w:sz="6" w:color="B8C4D0"/>
          <w:left w:val="single" w:sz="6" w:color="B8C4D0"/>
          <w:bottom w:val="single" w:sz="6" w:color="B8C4D0"/>
          <w:right w:val="single" w:sz="6" w:color="B8C4D0"/>
          <w:insideH w:val="single" w:sz="6" w:color="B8C4D0"/>
          <w:insideV w:val="single" w:sz="6" w:color="B8C4D0"/>
        </w:tblBorders>
      </w:tblPr>
      <w:tblGrid>
        <w:gridCol w:w="2300"/>
        <w:gridCol w:w="800"/>
        <w:gridCol w:w="2300"/>
        <w:gridCol w:w="800"/>
        <w:gridCol w:w="3160"/>
      </w:tblGrid>
      <w:tr>
        <w:tc>
          <w:tcPr>
            <w:tcW w:type="dxa" w:w="2300"/>
            <w:shd w:fill="EAF2F8"/>
            <w:tcMar>
              <w:top w:w="80" w:type="dxa"/>
              <w:start w:w="120" w:type="dxa"/>
              <w:bottom w:w="80" w:type="dxa"/>
              <w:end w:w="120" w:type="dxa"/>
            </w:tcMar>
            <w:vAlign w:val="center"/>
          </w:tcPr>
          <w:p>
            <w:pPr>
              <w:spacing w:before="160" w:after="160"/>
              <w:jc w:val="center"/>
            </w:pPr>
            <w:r>
              <w:rPr>
                <w:rFonts w:ascii="Calibri" w:hAnsi="Calibri"/>
                <w:b/>
                <w:color w:val="17365D"/>
                <w:sz w:val="20"/>
              </w:rPr>
              <w:t>Angular SPA</w:t>
            </w:r>
          </w:p>
        </w:tc>
        <w:tc>
          <w:tcPr>
            <w:tcW w:type="dxa" w:w="800"/>
            <w:shd w:fill="F2F4F7"/>
            <w:tcMar>
              <w:top w:w="80" w:type="dxa"/>
              <w:start w:w="120" w:type="dxa"/>
              <w:bottom w:w="80" w:type="dxa"/>
              <w:end w:w="120" w:type="dxa"/>
            </w:tcMar>
            <w:vAlign w:val="center"/>
          </w:tcPr>
          <w:p>
            <w:pPr>
              <w:spacing w:before="160" w:after="160"/>
              <w:jc w:val="center"/>
            </w:pPr>
            <w:r>
              <w:rPr>
                <w:rFonts w:ascii="Calibri" w:hAnsi="Calibri"/>
                <w:b/>
                <w:color w:val="17365D"/>
                <w:sz w:val="20"/>
              </w:rPr>
              <w:t>REST</w:t>
            </w:r>
          </w:p>
        </w:tc>
        <w:tc>
          <w:tcPr>
            <w:tcW w:type="dxa" w:w="2300"/>
            <w:shd w:fill="EAF2F8"/>
            <w:tcMar>
              <w:top w:w="80" w:type="dxa"/>
              <w:start w:w="120" w:type="dxa"/>
              <w:bottom w:w="80" w:type="dxa"/>
              <w:end w:w="120" w:type="dxa"/>
            </w:tcMar>
            <w:vAlign w:val="center"/>
          </w:tcPr>
          <w:p>
            <w:pPr>
              <w:spacing w:before="160" w:after="160"/>
              <w:jc w:val="center"/>
            </w:pPr>
            <w:r>
              <w:rPr>
                <w:rFonts w:ascii="Calibri" w:hAnsi="Calibri"/>
                <w:b/>
                <w:color w:val="17365D"/>
                <w:sz w:val="20"/>
              </w:rPr>
              <w:t>Laravel API</w:t>
            </w:r>
          </w:p>
        </w:tc>
        <w:tc>
          <w:tcPr>
            <w:tcW w:type="dxa" w:w="800"/>
            <w:shd w:fill="F2F4F7"/>
            <w:tcMar>
              <w:top w:w="80" w:type="dxa"/>
              <w:start w:w="120" w:type="dxa"/>
              <w:bottom w:w="80" w:type="dxa"/>
              <w:end w:w="120" w:type="dxa"/>
            </w:tcMar>
            <w:vAlign w:val="center"/>
          </w:tcPr>
          <w:p>
            <w:pPr>
              <w:spacing w:before="160" w:after="160"/>
              <w:jc w:val="center"/>
            </w:pPr>
            <w:r>
              <w:rPr>
                <w:rFonts w:ascii="Calibri" w:hAnsi="Calibri"/>
                <w:b/>
                <w:color w:val="17365D"/>
                <w:sz w:val="20"/>
              </w:rPr>
              <w:t>SQL</w:t>
            </w:r>
          </w:p>
        </w:tc>
        <w:tc>
          <w:tcPr>
            <w:tcW w:type="dxa" w:w="3160"/>
            <w:shd w:fill="EAF2F8"/>
            <w:tcMar>
              <w:top w:w="80" w:type="dxa"/>
              <w:start w:w="120" w:type="dxa"/>
              <w:bottom w:w="80" w:type="dxa"/>
              <w:end w:w="120" w:type="dxa"/>
            </w:tcMar>
            <w:vAlign w:val="center"/>
          </w:tcPr>
          <w:p>
            <w:pPr>
              <w:spacing w:before="160" w:after="160"/>
              <w:jc w:val="center"/>
            </w:pPr>
            <w:r>
              <w:rPr>
                <w:rFonts w:ascii="Calibri" w:hAnsi="Calibri"/>
                <w:b/>
                <w:color w:val="17365D"/>
                <w:sz w:val="20"/>
              </w:rPr>
              <w:t>MySQL</w:t>
            </w:r>
          </w:p>
        </w:tc>
      </w:tr>
    </w:tbl>
    <w:p>
      <w:pPr>
        <w:spacing w:after="0"/>
      </w:pPr>
    </w:p>
    <w:p>
      <w:pPr>
        <w:pStyle w:val="Heading2"/>
      </w:pPr>
      <w:r>
        <w:t>13.1 Componentes</w:t>
      </w:r>
    </w:p>
    <w:p>
      <w:pPr>
        <w:pStyle w:val="BodyText"/>
        <w:numPr>
          <w:ilvl w:val="0"/>
          <w:numId w:val="91"/>
        </w:numPr>
      </w:pPr>
      <w:r>
        <w:rPr>
          <w:rFonts w:ascii="Calibri" w:hAnsi="Calibri"/>
          <w:color w:val="243447"/>
        </w:rPr>
        <w:t>Angular: interfaz, formularios, filtros, dashboard y navegación.</w:t>
      </w:r>
    </w:p>
    <w:p>
      <w:pPr>
        <w:pStyle w:val="BodyText"/>
        <w:numPr>
          <w:ilvl w:val="0"/>
          <w:numId w:val="91"/>
        </w:numPr>
      </w:pPr>
      <w:r>
        <w:rPr>
          <w:rFonts w:ascii="Calibri" w:hAnsi="Calibri"/>
          <w:color w:val="243447"/>
        </w:rPr>
        <w:t>Laravel: API REST, validaciones, reglas de negocio, auditoría, exportaciones y acceso a datos.</w:t>
      </w:r>
    </w:p>
    <w:p>
      <w:pPr>
        <w:pStyle w:val="BodyText"/>
        <w:numPr>
          <w:ilvl w:val="0"/>
          <w:numId w:val="91"/>
        </w:numPr>
      </w:pPr>
      <w:r>
        <w:rPr>
          <w:rFonts w:ascii="Calibri" w:hAnsi="Calibri"/>
          <w:color w:val="243447"/>
        </w:rPr>
        <w:t>MySQL: almacenamiento de proyectos, releases, estados, seguimientos y eventos.</w:t>
      </w:r>
    </w:p>
    <w:p>
      <w:pPr>
        <w:pStyle w:val="BodyText"/>
        <w:numPr>
          <w:ilvl w:val="0"/>
          <w:numId w:val="91"/>
        </w:numPr>
      </w:pPr>
      <w:r>
        <w:rPr>
          <w:rFonts w:ascii="Calibri" w:hAnsi="Calibri"/>
          <w:color w:val="243447"/>
        </w:rPr>
        <w:t>Sistema de archivos local: respaldos y, si se aprueba, evidencias adjuntas. Para el MVP se prefieren enlaces o referencias sobre archivos pesados.</w:t>
      </w:r>
    </w:p>
    <w:p>
      <w:pPr>
        <w:pStyle w:val="Heading2"/>
      </w:pPr>
      <w:r>
        <w:t>13.2 Decisiones de implementación</w:t>
      </w:r>
    </w:p>
    <w:p>
      <w:pPr>
        <w:pStyle w:val="BodyText"/>
        <w:numPr>
          <w:ilvl w:val="0"/>
          <w:numId w:val="91"/>
        </w:numPr>
      </w:pPr>
      <w:r>
        <w:rPr>
          <w:rFonts w:ascii="Calibri" w:hAnsi="Calibri"/>
          <w:color w:val="243447"/>
        </w:rPr>
        <w:t>La autenticación puede omitirse en la primera ejecución local, pero todas las tablas auditables conservarán actor_created_by y actor_updated_by.</w:t>
      </w:r>
    </w:p>
    <w:p>
      <w:pPr>
        <w:pStyle w:val="BodyText"/>
        <w:numPr>
          <w:ilvl w:val="0"/>
          <w:numId w:val="91"/>
        </w:numPr>
      </w:pPr>
      <w:r>
        <w:rPr>
          <w:rFonts w:ascii="Calibri" w:hAnsi="Calibri"/>
          <w:color w:val="243447"/>
        </w:rPr>
        <w:t>Si se habilita autenticación SPA, se utilizará Laravel Sanctum.</w:t>
      </w:r>
    </w:p>
    <w:p>
      <w:pPr>
        <w:pStyle w:val="BodyText"/>
        <w:numPr>
          <w:ilvl w:val="0"/>
          <w:numId w:val="91"/>
        </w:numPr>
      </w:pPr>
      <w:r>
        <w:rPr>
          <w:rFonts w:ascii="Calibri" w:hAnsi="Calibri"/>
          <w:color w:val="243447"/>
        </w:rPr>
        <w:t>Las alertas se calcularán bajo demanda al cargar el dashboard; el scheduler quedará como mejora futura.</w:t>
      </w:r>
    </w:p>
    <w:p>
      <w:pPr>
        <w:pStyle w:val="BodyText"/>
        <w:numPr>
          <w:ilvl w:val="0"/>
          <w:numId w:val="91"/>
        </w:numPr>
      </w:pPr>
      <w:r>
        <w:rPr>
          <w:rFonts w:ascii="Calibri" w:hAnsi="Calibri"/>
          <w:color w:val="243447"/>
        </w:rPr>
        <w:t>La instalación incluirá migrations, seeders, variables de entorno de ejemplo y comandos de arranque documentados.</w:t>
      </w:r>
    </w:p>
    <w:p>
      <w:r>
        <w:br w:type="page"/>
      </w:r>
    </w:p>
    <w:p>
      <w:pPr>
        <w:pStyle w:val="Heading1"/>
      </w:pPr>
      <w:r>
        <w:t>14. Baseline inicial de Reports</w:t>
      </w:r>
    </w:p>
    <w:p>
      <w:pPr>
        <w:pStyle w:val="BodyText"/>
      </w:pPr>
      <w:r>
        <w:rPr>
          <w:rFonts w:ascii="Calibri" w:hAnsi="Calibri"/>
          <w:i w:val="0"/>
          <w:color w:val="243447"/>
        </w:rPr>
        <w:t>Fecha de referencia: 7 de agosto de 2026. Esta carga se considera semilla para validación, no garantía de estado actual al momento de implementar.</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250"/>
        <w:gridCol w:w="2550"/>
        <w:gridCol w:w="1700"/>
        <w:gridCol w:w="2860"/>
      </w:tblGrid>
      <w:tr>
        <w:trPr>
          <w:tblHeader w:val="true"/>
        </w:trPr>
        <w:tc>
          <w:tcPr>
            <w:tcW w:type="dxa" w:w="225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6"/>
              </w:rPr>
              <w:t>Ítem</w:t>
            </w:r>
          </w:p>
        </w:tc>
        <w:tc>
          <w:tcPr>
            <w:tcW w:type="dxa" w:w="255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6"/>
              </w:rPr>
              <w:t>Confirmado</w:t>
            </w:r>
          </w:p>
        </w:tc>
        <w:tc>
          <w:tcPr>
            <w:tcW w:type="dxa" w:w="17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6"/>
              </w:rPr>
              <w:t>No alcanzado</w:t>
            </w:r>
          </w:p>
        </w:tc>
        <w:tc>
          <w:tcPr>
            <w:tcW w:type="dxa" w:w="28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6"/>
              </w:rPr>
              <w:t>Pendiente / siguiente acción</w:t>
            </w:r>
          </w:p>
        </w:tc>
      </w:tr>
      <w:tr>
        <w:trPr>
          <w:cantSplit/>
        </w:trPr>
        <w:tc>
          <w:tcPr>
            <w:tcW w:type="dxa" w:w="2250"/>
            <w:tcMar>
              <w:top w:w="80" w:type="dxa"/>
              <w:start w:w="120" w:type="dxa"/>
              <w:bottom w:w="80" w:type="dxa"/>
              <w:end w:w="120" w:type="dxa"/>
            </w:tcMar>
            <w:vAlign w:val="center"/>
          </w:tcPr>
          <w:p>
            <w:pPr>
              <w:spacing w:before="0" w:after="0" w:line="252" w:lineRule="auto"/>
              <w:jc w:val="left"/>
            </w:pPr>
            <w:r>
              <w:rPr>
                <w:rFonts w:ascii="Calibri" w:hAnsi="Calibri"/>
                <w:color w:val="243447"/>
                <w:sz w:val="16"/>
              </w:rPr>
              <w:t>UI Improvements</w:t>
            </w:r>
          </w:p>
        </w:tc>
        <w:tc>
          <w:tcPr>
            <w:tcW w:type="dxa" w:w="2550"/>
            <w:tcMar>
              <w:top w:w="80" w:type="dxa"/>
              <w:start w:w="120" w:type="dxa"/>
              <w:bottom w:w="80" w:type="dxa"/>
              <w:end w:w="120" w:type="dxa"/>
            </w:tcMar>
            <w:vAlign w:val="center"/>
          </w:tcPr>
          <w:p>
            <w:pPr>
              <w:spacing w:before="0" w:after="0" w:line="252" w:lineRule="auto"/>
              <w:jc w:val="left"/>
            </w:pPr>
            <w:r>
              <w:rPr>
                <w:rFonts w:ascii="Calibri" w:hAnsi="Calibri"/>
                <w:color w:val="243447"/>
                <w:sz w:val="16"/>
              </w:rPr>
              <w:t>MOJA</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243447"/>
                <w:sz w:val="16"/>
              </w:rPr>
              <w:t>TATU, SITA, Production</w:t>
            </w:r>
          </w:p>
        </w:tc>
        <w:tc>
          <w:tcPr>
            <w:tcW w:type="dxa" w:w="2860"/>
            <w:tcMar>
              <w:top w:w="80" w:type="dxa"/>
              <w:start w:w="120" w:type="dxa"/>
              <w:bottom w:w="80" w:type="dxa"/>
              <w:end w:w="120" w:type="dxa"/>
            </w:tcMar>
            <w:vAlign w:val="center"/>
          </w:tcPr>
          <w:p>
            <w:pPr>
              <w:spacing w:before="0" w:after="0" w:line="252" w:lineRule="auto"/>
              <w:jc w:val="left"/>
            </w:pPr>
            <w:r>
              <w:rPr>
                <w:rFonts w:ascii="Calibri" w:hAnsi="Calibri"/>
                <w:color w:val="243447"/>
                <w:sz w:val="16"/>
              </w:rPr>
              <w:t>Promoción pendiente; confirmar sprint y release notes.</w:t>
            </w:r>
          </w:p>
        </w:tc>
      </w:tr>
      <w:tr>
        <w:trPr>
          <w:cantSplit/>
        </w:trPr>
        <w:tc>
          <w:tcPr>
            <w:tcW w:type="dxa" w:w="2250"/>
            <w:tcMar>
              <w:top w:w="80" w:type="dxa"/>
              <w:start w:w="120" w:type="dxa"/>
              <w:bottom w:w="80" w:type="dxa"/>
              <w:end w:w="120" w:type="dxa"/>
            </w:tcMar>
            <w:vAlign w:val="center"/>
          </w:tcPr>
          <w:p>
            <w:pPr>
              <w:spacing w:before="0" w:after="0" w:line="252" w:lineRule="auto"/>
              <w:jc w:val="left"/>
            </w:pPr>
            <w:r>
              <w:rPr>
                <w:rFonts w:ascii="Calibri" w:hAnsi="Calibri"/>
                <w:color w:val="243447"/>
                <w:sz w:val="16"/>
              </w:rPr>
              <w:t>Payrun History — base</w:t>
            </w:r>
          </w:p>
        </w:tc>
        <w:tc>
          <w:tcPr>
            <w:tcW w:type="dxa" w:w="2550"/>
            <w:tcMar>
              <w:top w:w="80" w:type="dxa"/>
              <w:start w:w="120" w:type="dxa"/>
              <w:bottom w:w="80" w:type="dxa"/>
              <w:end w:w="120" w:type="dxa"/>
            </w:tcMar>
            <w:vAlign w:val="center"/>
          </w:tcPr>
          <w:p>
            <w:pPr>
              <w:spacing w:before="0" w:after="0" w:line="252" w:lineRule="auto"/>
              <w:jc w:val="left"/>
            </w:pPr>
            <w:r>
              <w:rPr>
                <w:rFonts w:ascii="Calibri" w:hAnsi="Calibri"/>
                <w:color w:val="243447"/>
                <w:sz w:val="16"/>
              </w:rPr>
              <w:t>MOJA, TATU, SITA, Production</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243447"/>
                <w:sz w:val="16"/>
              </w:rPr>
              <w:t>—</w:t>
            </w:r>
          </w:p>
        </w:tc>
        <w:tc>
          <w:tcPr>
            <w:tcW w:type="dxa" w:w="2860"/>
            <w:tcMar>
              <w:top w:w="80" w:type="dxa"/>
              <w:start w:w="120" w:type="dxa"/>
              <w:bottom w:w="80" w:type="dxa"/>
              <w:end w:w="120" w:type="dxa"/>
            </w:tcMar>
            <w:vAlign w:val="center"/>
          </w:tcPr>
          <w:p>
            <w:pPr>
              <w:spacing w:before="0" w:after="0" w:line="252" w:lineRule="auto"/>
              <w:jc w:val="left"/>
            </w:pPr>
            <w:r>
              <w:rPr>
                <w:rFonts w:ascii="Calibri" w:hAnsi="Calibri"/>
                <w:color w:val="243447"/>
                <w:sz w:val="16"/>
              </w:rPr>
              <w:t>Confirmar con Ameet disponibilidad y grupos de clientes.</w:t>
            </w:r>
          </w:p>
        </w:tc>
      </w:tr>
      <w:tr>
        <w:trPr>
          <w:cantSplit/>
        </w:trPr>
        <w:tc>
          <w:tcPr>
            <w:tcW w:type="dxa" w:w="2250"/>
            <w:tcMar>
              <w:top w:w="80" w:type="dxa"/>
              <w:start w:w="120" w:type="dxa"/>
              <w:bottom w:w="80" w:type="dxa"/>
              <w:end w:w="120" w:type="dxa"/>
            </w:tcMar>
            <w:vAlign w:val="center"/>
          </w:tcPr>
          <w:p>
            <w:pPr>
              <w:spacing w:before="0" w:after="0" w:line="252" w:lineRule="auto"/>
              <w:jc w:val="left"/>
            </w:pPr>
            <w:r>
              <w:rPr>
                <w:rFonts w:ascii="Calibri" w:hAnsi="Calibri"/>
                <w:color w:val="243447"/>
                <w:sz w:val="16"/>
              </w:rPr>
              <w:t>ePay Report — base</w:t>
            </w:r>
          </w:p>
        </w:tc>
        <w:tc>
          <w:tcPr>
            <w:tcW w:type="dxa" w:w="2550"/>
            <w:tcMar>
              <w:top w:w="80" w:type="dxa"/>
              <w:start w:w="120" w:type="dxa"/>
              <w:bottom w:w="80" w:type="dxa"/>
              <w:end w:w="120" w:type="dxa"/>
            </w:tcMar>
            <w:vAlign w:val="center"/>
          </w:tcPr>
          <w:p>
            <w:pPr>
              <w:spacing w:before="0" w:after="0" w:line="252" w:lineRule="auto"/>
              <w:jc w:val="left"/>
            </w:pPr>
            <w:r>
              <w:rPr>
                <w:rFonts w:ascii="Calibri" w:hAnsi="Calibri"/>
                <w:color w:val="243447"/>
                <w:sz w:val="16"/>
              </w:rPr>
              <w:t>MOJA, TATU, SITA; versión anterior en Production</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243447"/>
                <w:sz w:val="16"/>
              </w:rPr>
              <w:t>—</w:t>
            </w:r>
          </w:p>
        </w:tc>
        <w:tc>
          <w:tcPr>
            <w:tcW w:type="dxa" w:w="2860"/>
            <w:tcMar>
              <w:top w:w="80" w:type="dxa"/>
              <w:start w:w="120" w:type="dxa"/>
              <w:bottom w:w="80" w:type="dxa"/>
              <w:end w:w="120" w:type="dxa"/>
            </w:tcMar>
            <w:vAlign w:val="center"/>
          </w:tcPr>
          <w:p>
            <w:pPr>
              <w:spacing w:before="0" w:after="0" w:line="252" w:lineRule="auto"/>
              <w:jc w:val="left"/>
            </w:pPr>
            <w:r>
              <w:rPr>
                <w:rFonts w:ascii="Calibri" w:hAnsi="Calibri"/>
                <w:color w:val="243447"/>
                <w:sz w:val="16"/>
              </w:rPr>
              <w:t>Confirmar versión activa y disponibilidad para clientes.</w:t>
            </w:r>
          </w:p>
        </w:tc>
      </w:tr>
      <w:tr>
        <w:trPr>
          <w:cantSplit/>
        </w:trPr>
        <w:tc>
          <w:tcPr>
            <w:tcW w:type="dxa" w:w="2250"/>
            <w:tcMar>
              <w:top w:w="80" w:type="dxa"/>
              <w:start w:w="120" w:type="dxa"/>
              <w:bottom w:w="80" w:type="dxa"/>
              <w:end w:w="120" w:type="dxa"/>
            </w:tcMar>
            <w:vAlign w:val="center"/>
          </w:tcPr>
          <w:p>
            <w:pPr>
              <w:spacing w:before="0" w:after="0" w:line="252" w:lineRule="auto"/>
              <w:jc w:val="left"/>
            </w:pPr>
            <w:r>
              <w:rPr>
                <w:rFonts w:ascii="Calibri" w:hAnsi="Calibri"/>
                <w:color w:val="243447"/>
                <w:sz w:val="16"/>
              </w:rPr>
              <w:t>ePay Report — improvements</w:t>
            </w:r>
          </w:p>
        </w:tc>
        <w:tc>
          <w:tcPr>
            <w:tcW w:type="dxa" w:w="2550"/>
            <w:tcMar>
              <w:top w:w="80" w:type="dxa"/>
              <w:start w:w="120" w:type="dxa"/>
              <w:bottom w:w="80" w:type="dxa"/>
              <w:end w:w="120" w:type="dxa"/>
            </w:tcMar>
            <w:vAlign w:val="center"/>
          </w:tcPr>
          <w:p>
            <w:pPr>
              <w:spacing w:before="0" w:after="0" w:line="252" w:lineRule="auto"/>
              <w:jc w:val="left"/>
            </w:pPr>
            <w:r>
              <w:rPr>
                <w:rFonts w:ascii="Calibri" w:hAnsi="Calibri"/>
                <w:color w:val="243447"/>
                <w:sz w:val="16"/>
              </w:rPr>
              <w:t>MOJA, TATU</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243447"/>
                <w:sz w:val="16"/>
              </w:rPr>
              <w:t>SITA, Production</w:t>
            </w:r>
          </w:p>
        </w:tc>
        <w:tc>
          <w:tcPr>
            <w:tcW w:type="dxa" w:w="2860"/>
            <w:tcMar>
              <w:top w:w="80" w:type="dxa"/>
              <w:start w:w="120" w:type="dxa"/>
              <w:bottom w:w="80" w:type="dxa"/>
              <w:end w:w="120" w:type="dxa"/>
            </w:tcMar>
            <w:vAlign w:val="center"/>
          </w:tcPr>
          <w:p>
            <w:pPr>
              <w:spacing w:before="0" w:after="0" w:line="252" w:lineRule="auto"/>
              <w:jc w:val="left"/>
            </w:pPr>
            <w:r>
              <w:rPr>
                <w:rFonts w:ascii="Calibri" w:hAnsi="Calibri"/>
                <w:color w:val="243447"/>
                <w:sz w:val="16"/>
              </w:rPr>
              <w:t>Confirmar aprobación QA, release notes y promoción.</w:t>
            </w:r>
          </w:p>
        </w:tc>
      </w:tr>
      <w:tr>
        <w:trPr>
          <w:cantSplit/>
        </w:trPr>
        <w:tc>
          <w:tcPr>
            <w:tcW w:type="dxa" w:w="2250"/>
            <w:tcMar>
              <w:top w:w="80" w:type="dxa"/>
              <w:start w:w="120" w:type="dxa"/>
              <w:bottom w:w="80" w:type="dxa"/>
              <w:end w:w="120" w:type="dxa"/>
            </w:tcMar>
            <w:vAlign w:val="center"/>
          </w:tcPr>
          <w:p>
            <w:pPr>
              <w:spacing w:before="0" w:after="0" w:line="252" w:lineRule="auto"/>
              <w:jc w:val="left"/>
            </w:pPr>
            <w:r>
              <w:rPr>
                <w:rFonts w:ascii="Calibri" w:hAnsi="Calibri"/>
                <w:color w:val="243447"/>
                <w:sz w:val="16"/>
              </w:rPr>
              <w:t>Summary Report — base</w:t>
            </w:r>
          </w:p>
        </w:tc>
        <w:tc>
          <w:tcPr>
            <w:tcW w:type="dxa" w:w="2550"/>
            <w:tcMar>
              <w:top w:w="80" w:type="dxa"/>
              <w:start w:w="120" w:type="dxa"/>
              <w:bottom w:w="80" w:type="dxa"/>
              <w:end w:w="120" w:type="dxa"/>
            </w:tcMar>
            <w:vAlign w:val="center"/>
          </w:tcPr>
          <w:p>
            <w:pPr>
              <w:spacing w:before="0" w:after="0" w:line="252" w:lineRule="auto"/>
              <w:jc w:val="left"/>
            </w:pPr>
            <w:r>
              <w:rPr>
                <w:rFonts w:ascii="Calibri" w:hAnsi="Calibri"/>
                <w:color w:val="243447"/>
                <w:sz w:val="16"/>
              </w:rPr>
              <w:t>MOJA; testing en TATU</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243447"/>
                <w:sz w:val="16"/>
              </w:rPr>
              <w:t>SITA, Production</w:t>
            </w:r>
          </w:p>
        </w:tc>
        <w:tc>
          <w:tcPr>
            <w:tcW w:type="dxa" w:w="2860"/>
            <w:tcMar>
              <w:top w:w="80" w:type="dxa"/>
              <w:start w:w="120" w:type="dxa"/>
              <w:bottom w:w="80" w:type="dxa"/>
              <w:end w:w="120" w:type="dxa"/>
            </w:tcMar>
            <w:vAlign w:val="center"/>
          </w:tcPr>
          <w:p>
            <w:pPr>
              <w:spacing w:before="0" w:after="0" w:line="252" w:lineRule="auto"/>
              <w:jc w:val="left"/>
            </w:pPr>
            <w:r>
              <w:rPr>
                <w:rFonts w:ascii="Calibri" w:hAnsi="Calibri"/>
                <w:color w:val="243447"/>
                <w:sz w:val="16"/>
              </w:rPr>
              <w:t>Completar pruebas y definir promoción.</w:t>
            </w:r>
          </w:p>
        </w:tc>
      </w:tr>
      <w:tr>
        <w:trPr>
          <w:cantSplit/>
        </w:trPr>
        <w:tc>
          <w:tcPr>
            <w:tcW w:type="dxa" w:w="2250"/>
            <w:tcMar>
              <w:top w:w="80" w:type="dxa"/>
              <w:start w:w="120" w:type="dxa"/>
              <w:bottom w:w="80" w:type="dxa"/>
              <w:end w:w="120" w:type="dxa"/>
            </w:tcMar>
            <w:vAlign w:val="center"/>
          </w:tcPr>
          <w:p>
            <w:pPr>
              <w:spacing w:before="0" w:after="0" w:line="252" w:lineRule="auto"/>
              <w:jc w:val="left"/>
            </w:pPr>
            <w:r>
              <w:rPr>
                <w:rFonts w:ascii="Calibri" w:hAnsi="Calibri"/>
                <w:color w:val="243447"/>
                <w:sz w:val="16"/>
              </w:rPr>
              <w:t>Cheques &amp; Payslips — Transfer</w:t>
            </w:r>
          </w:p>
        </w:tc>
        <w:tc>
          <w:tcPr>
            <w:tcW w:type="dxa" w:w="2550"/>
            <w:tcMar>
              <w:top w:w="80" w:type="dxa"/>
              <w:start w:w="120" w:type="dxa"/>
              <w:bottom w:w="80" w:type="dxa"/>
              <w:end w:w="120" w:type="dxa"/>
            </w:tcMar>
            <w:vAlign w:val="center"/>
          </w:tcPr>
          <w:p>
            <w:pPr>
              <w:spacing w:before="0" w:after="0" w:line="252" w:lineRule="auto"/>
              <w:jc w:val="left"/>
            </w:pPr>
            <w:r>
              <w:rPr>
                <w:rFonts w:ascii="Calibri" w:hAnsi="Calibri"/>
                <w:color w:val="243447"/>
                <w:sz w:val="16"/>
              </w:rPr>
              <w:t>MOJA; merge en curso</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243447"/>
                <w:sz w:val="16"/>
              </w:rPr>
              <w:t>TATU, SITA, Production</w:t>
            </w:r>
          </w:p>
        </w:tc>
        <w:tc>
          <w:tcPr>
            <w:tcW w:type="dxa" w:w="2860"/>
            <w:tcMar>
              <w:top w:w="80" w:type="dxa"/>
              <w:start w:w="120" w:type="dxa"/>
              <w:bottom w:w="80" w:type="dxa"/>
              <w:end w:w="120" w:type="dxa"/>
            </w:tcMar>
            <w:vAlign w:val="center"/>
          </w:tcPr>
          <w:p>
            <w:pPr>
              <w:spacing w:before="0" w:after="0" w:line="252" w:lineRule="auto"/>
              <w:jc w:val="left"/>
            </w:pPr>
            <w:r>
              <w:rPr>
                <w:rFonts w:ascii="Calibri" w:hAnsi="Calibri"/>
                <w:color w:val="243447"/>
                <w:sz w:val="16"/>
              </w:rPr>
              <w:t>Confirmar merge y disponibilidad en TATU.</w:t>
            </w:r>
          </w:p>
        </w:tc>
      </w:tr>
      <w:tr>
        <w:trPr>
          <w:cantSplit/>
        </w:trPr>
        <w:tc>
          <w:tcPr>
            <w:tcW w:type="dxa" w:w="2250"/>
            <w:tcMar>
              <w:top w:w="80" w:type="dxa"/>
              <w:start w:w="120" w:type="dxa"/>
              <w:bottom w:w="80" w:type="dxa"/>
              <w:end w:w="120" w:type="dxa"/>
            </w:tcMar>
            <w:vAlign w:val="center"/>
          </w:tcPr>
          <w:p>
            <w:pPr>
              <w:spacing w:before="0" w:after="0" w:line="252" w:lineRule="auto"/>
              <w:jc w:val="left"/>
            </w:pPr>
            <w:r>
              <w:rPr>
                <w:rFonts w:ascii="Calibri" w:hAnsi="Calibri"/>
                <w:color w:val="243447"/>
                <w:sz w:val="16"/>
              </w:rPr>
              <w:t>Cheques &amp; Payslips — Report</w:t>
            </w:r>
          </w:p>
        </w:tc>
        <w:tc>
          <w:tcPr>
            <w:tcW w:type="dxa" w:w="2550"/>
            <w:tcMar>
              <w:top w:w="80" w:type="dxa"/>
              <w:start w:w="120" w:type="dxa"/>
              <w:bottom w:w="80" w:type="dxa"/>
              <w:end w:w="120" w:type="dxa"/>
            </w:tcMar>
            <w:vAlign w:val="center"/>
          </w:tcPr>
          <w:p>
            <w:pPr>
              <w:spacing w:before="0" w:after="0" w:line="252" w:lineRule="auto"/>
              <w:jc w:val="left"/>
            </w:pPr>
            <w:r>
              <w:rPr>
                <w:rFonts w:ascii="Calibri" w:hAnsi="Calibri"/>
                <w:color w:val="243447"/>
                <w:sz w:val="16"/>
              </w:rPr>
              <w:t>MOJA</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243447"/>
                <w:sz w:val="16"/>
              </w:rPr>
              <w:t>TATU, SITA, Production</w:t>
            </w:r>
          </w:p>
        </w:tc>
        <w:tc>
          <w:tcPr>
            <w:tcW w:type="dxa" w:w="2860"/>
            <w:tcMar>
              <w:top w:w="80" w:type="dxa"/>
              <w:start w:w="120" w:type="dxa"/>
              <w:bottom w:w="80" w:type="dxa"/>
              <w:end w:w="120" w:type="dxa"/>
            </w:tcMar>
            <w:vAlign w:val="center"/>
          </w:tcPr>
          <w:p>
            <w:pPr>
              <w:spacing w:before="0" w:after="0" w:line="252" w:lineRule="auto"/>
              <w:jc w:val="left"/>
            </w:pPr>
            <w:r>
              <w:rPr>
                <w:rFonts w:ascii="Calibri" w:hAnsi="Calibri"/>
                <w:color w:val="243447"/>
                <w:sz w:val="16"/>
              </w:rPr>
              <w:t>Definir siguiente hito y owner.</w:t>
            </w:r>
          </w:p>
        </w:tc>
      </w:tr>
      <w:tr>
        <w:trPr>
          <w:cantSplit/>
        </w:trPr>
        <w:tc>
          <w:tcPr>
            <w:tcW w:type="dxa" w:w="2250"/>
            <w:tcMar>
              <w:top w:w="80" w:type="dxa"/>
              <w:start w:w="120" w:type="dxa"/>
              <w:bottom w:w="80" w:type="dxa"/>
              <w:end w:w="120" w:type="dxa"/>
            </w:tcMar>
            <w:vAlign w:val="center"/>
          </w:tcPr>
          <w:p>
            <w:pPr>
              <w:spacing w:before="0" w:after="0" w:line="252" w:lineRule="auto"/>
              <w:jc w:val="left"/>
            </w:pPr>
            <w:r>
              <w:rPr>
                <w:rFonts w:ascii="Calibri" w:hAnsi="Calibri"/>
                <w:color w:val="243447"/>
                <w:sz w:val="16"/>
              </w:rPr>
              <w:t>PayExplorer — alcance actual</w:t>
            </w:r>
          </w:p>
        </w:tc>
        <w:tc>
          <w:tcPr>
            <w:tcW w:type="dxa" w:w="2550"/>
            <w:tcMar>
              <w:top w:w="80" w:type="dxa"/>
              <w:start w:w="120" w:type="dxa"/>
              <w:bottom w:w="80" w:type="dxa"/>
              <w:end w:w="120" w:type="dxa"/>
            </w:tcMar>
            <w:vAlign w:val="center"/>
          </w:tcPr>
          <w:p>
            <w:pPr>
              <w:spacing w:before="0" w:after="0" w:line="252" w:lineRule="auto"/>
              <w:jc w:val="left"/>
            </w:pPr>
            <w:r>
              <w:rPr>
                <w:rFonts w:ascii="Calibri" w:hAnsi="Calibri"/>
                <w:color w:val="243447"/>
                <w:sz w:val="16"/>
              </w:rPr>
              <w:t>Desarrollo en MOJA</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243447"/>
                <w:sz w:val="16"/>
              </w:rPr>
              <w:t>TATU, SITA, Production</w:t>
            </w:r>
          </w:p>
        </w:tc>
        <w:tc>
          <w:tcPr>
            <w:tcW w:type="dxa" w:w="2860"/>
            <w:tcMar>
              <w:top w:w="80" w:type="dxa"/>
              <w:start w:w="120" w:type="dxa"/>
              <w:bottom w:w="80" w:type="dxa"/>
              <w:end w:w="120" w:type="dxa"/>
            </w:tcMar>
            <w:vAlign w:val="center"/>
          </w:tcPr>
          <w:p>
            <w:pPr>
              <w:spacing w:before="0" w:after="0" w:line="252" w:lineRule="auto"/>
              <w:jc w:val="left"/>
            </w:pPr>
            <w:r>
              <w:rPr>
                <w:rFonts w:ascii="Calibri" w:hAnsi="Calibri"/>
                <w:color w:val="243447"/>
                <w:sz w:val="16"/>
              </w:rPr>
              <w:t>Confirmar alcance y fecha objetivo.</w:t>
            </w:r>
          </w:p>
        </w:tc>
      </w:tr>
      <w:tr>
        <w:trPr>
          <w:cantSplit/>
        </w:trPr>
        <w:tc>
          <w:tcPr>
            <w:tcW w:type="dxa" w:w="2250"/>
            <w:tcMar>
              <w:top w:w="80" w:type="dxa"/>
              <w:start w:w="120" w:type="dxa"/>
              <w:bottom w:w="80" w:type="dxa"/>
              <w:end w:w="120" w:type="dxa"/>
            </w:tcMar>
            <w:vAlign w:val="center"/>
          </w:tcPr>
          <w:p>
            <w:pPr>
              <w:spacing w:before="0" w:after="0" w:line="252" w:lineRule="auto"/>
              <w:jc w:val="left"/>
            </w:pPr>
            <w:r>
              <w:rPr>
                <w:rFonts w:ascii="Calibri" w:hAnsi="Calibri"/>
                <w:color w:val="243447"/>
                <w:sz w:val="16"/>
              </w:rPr>
              <w:t>Reports Homepage — alcance actual</w:t>
            </w:r>
          </w:p>
        </w:tc>
        <w:tc>
          <w:tcPr>
            <w:tcW w:type="dxa" w:w="2550"/>
            <w:tcMar>
              <w:top w:w="80" w:type="dxa"/>
              <w:start w:w="120" w:type="dxa"/>
              <w:bottom w:w="80" w:type="dxa"/>
              <w:end w:w="120" w:type="dxa"/>
            </w:tcMar>
            <w:vAlign w:val="center"/>
          </w:tcPr>
          <w:p>
            <w:pPr>
              <w:spacing w:before="0" w:after="0" w:line="252" w:lineRule="auto"/>
              <w:jc w:val="left"/>
            </w:pPr>
            <w:r>
              <w:rPr>
                <w:rFonts w:ascii="Calibri" w:hAnsi="Calibri"/>
                <w:color w:val="243447"/>
                <w:sz w:val="16"/>
              </w:rPr>
              <w:t>Desarrollo en MOJA</w:t>
            </w:r>
          </w:p>
        </w:tc>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243447"/>
                <w:sz w:val="16"/>
              </w:rPr>
              <w:t>TATU, SITA, Production</w:t>
            </w:r>
          </w:p>
        </w:tc>
        <w:tc>
          <w:tcPr>
            <w:tcW w:type="dxa" w:w="2860"/>
            <w:tcMar>
              <w:top w:w="80" w:type="dxa"/>
              <w:start w:w="120" w:type="dxa"/>
              <w:bottom w:w="80" w:type="dxa"/>
              <w:end w:w="120" w:type="dxa"/>
            </w:tcMar>
            <w:vAlign w:val="center"/>
          </w:tcPr>
          <w:p>
            <w:pPr>
              <w:spacing w:before="0" w:after="0" w:line="252" w:lineRule="auto"/>
              <w:jc w:val="left"/>
            </w:pPr>
            <w:r>
              <w:rPr>
                <w:rFonts w:ascii="Calibri" w:hAnsi="Calibri"/>
                <w:color w:val="243447"/>
                <w:sz w:val="16"/>
              </w:rPr>
              <w:t>Confirmar alcance y fecha objetivo.</w:t>
            </w:r>
          </w:p>
        </w:tc>
      </w:tr>
    </w:tbl>
    <w:p>
      <w:pPr>
        <w:spacing w:after="0"/>
      </w:pPr>
    </w:p>
    <w:p>
      <w:pPr>
        <w:pStyle w:val="Callout"/>
        <w:shd w:fill="FDECEC"/>
        <w:pBdr>
          <w:left w:val="single" w:sz="18" w:space="8" w:color="C0392B"/>
        </w:pBdr>
      </w:pPr>
      <w:r>
        <w:rPr>
          <w:rFonts w:ascii="Calibri" w:hAnsi="Calibri"/>
          <w:b/>
          <w:color w:val="17365D"/>
        </w:rPr>
        <w:t xml:space="preserve">EXCLUSIÓN  </w:t>
      </w:r>
      <w:r>
        <w:rPr>
          <w:rFonts w:ascii="Calibri" w:hAnsi="Calibri"/>
          <w:color w:val="243447"/>
        </w:rPr>
        <w:t>Remittances no forma parte de esta carga. Si requiere control, deberá crearse como proyecto independiente fuera del alcance de Reports.</w:t>
      </w:r>
    </w:p>
    <w:p>
      <w:r>
        <w:br w:type="page"/>
      </w:r>
    </w:p>
    <w:p>
      <w:pPr>
        <w:pStyle w:val="Heading1"/>
      </w:pPr>
      <w:r>
        <w:t>15. Historias de usuario prioritarias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050"/>
        <w:gridCol w:w="4720"/>
        <w:gridCol w:w="3590"/>
      </w:tblGrid>
      <w:tr>
        <w:trPr>
          <w:tblHeader w:val="true"/>
        </w:trPr>
        <w:tc>
          <w:tcPr>
            <w:tcW w:type="dxa" w:w="105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ID</w:t>
            </w:r>
          </w:p>
        </w:tc>
        <w:tc>
          <w:tcPr>
            <w:tcW w:type="dxa" w:w="472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Historia</w:t>
            </w:r>
          </w:p>
        </w:tc>
        <w:tc>
          <w:tcPr>
            <w:tcW w:type="dxa" w:w="359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Resultado esperado</w:t>
            </w:r>
          </w:p>
        </w:tc>
      </w:tr>
      <w:tr>
        <w:trPr>
          <w:cantSplit/>
        </w:trPr>
        <w:tc>
          <w:tcPr>
            <w:tcW w:type="dxa" w:w="1050"/>
            <w:tcMar>
              <w:top w:w="80" w:type="dxa"/>
              <w:start w:w="120" w:type="dxa"/>
              <w:bottom w:w="80" w:type="dxa"/>
              <w:end w:w="120" w:type="dxa"/>
            </w:tcMar>
            <w:vAlign w:val="center"/>
          </w:tcPr>
          <w:p>
            <w:pPr>
              <w:spacing w:before="0" w:after="0" w:line="252" w:lineRule="auto"/>
              <w:jc w:val="left"/>
            </w:pPr>
            <w:r>
              <w:rPr>
                <w:rFonts w:ascii="Calibri" w:hAnsi="Calibri"/>
                <w:color w:val="243447"/>
                <w:sz w:val="17"/>
              </w:rPr>
              <w:t>US-001</w:t>
            </w:r>
          </w:p>
        </w:tc>
        <w:tc>
          <w:tcPr>
            <w:tcW w:type="dxa" w:w="472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Como BA, quiero ver todos mis proyectos y su salud para priorizar mi día.</w:t>
            </w:r>
          </w:p>
        </w:tc>
        <w:tc>
          <w:tcPr>
            <w:tcW w:type="dxa" w:w="3590"/>
            <w:tcMar>
              <w:top w:w="80" w:type="dxa"/>
              <w:start w:w="120" w:type="dxa"/>
              <w:bottom w:w="80" w:type="dxa"/>
              <w:end w:w="120" w:type="dxa"/>
            </w:tcMar>
            <w:vAlign w:val="center"/>
          </w:tcPr>
          <w:p>
            <w:pPr>
              <w:spacing w:before="0" w:after="0" w:line="252" w:lineRule="auto"/>
              <w:jc w:val="left"/>
            </w:pPr>
            <w:r>
              <w:rPr>
                <w:rFonts w:ascii="Calibri" w:hAnsi="Calibri"/>
                <w:color w:val="243447"/>
                <w:sz w:val="17"/>
              </w:rPr>
              <w:t>Dashboard con filtros y alertas accionables.</w:t>
            </w:r>
          </w:p>
        </w:tc>
      </w:tr>
      <w:tr>
        <w:trPr>
          <w:cantSplit/>
        </w:trPr>
        <w:tc>
          <w:tcPr>
            <w:tcW w:type="dxa" w:w="1050"/>
            <w:tcMar>
              <w:top w:w="80" w:type="dxa"/>
              <w:start w:w="120" w:type="dxa"/>
              <w:bottom w:w="80" w:type="dxa"/>
              <w:end w:w="120" w:type="dxa"/>
            </w:tcMar>
            <w:vAlign w:val="center"/>
          </w:tcPr>
          <w:p>
            <w:pPr>
              <w:spacing w:before="0" w:after="0" w:line="252" w:lineRule="auto"/>
              <w:jc w:val="left"/>
            </w:pPr>
            <w:r>
              <w:rPr>
                <w:rFonts w:ascii="Calibri" w:hAnsi="Calibri"/>
                <w:color w:val="243447"/>
                <w:sz w:val="17"/>
              </w:rPr>
              <w:t>US-002</w:t>
            </w:r>
          </w:p>
        </w:tc>
        <w:tc>
          <w:tcPr>
            <w:tcW w:type="dxa" w:w="472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Como BA, quiero separar un módulo base de sus improvements para no mezclar estados.</w:t>
            </w:r>
          </w:p>
        </w:tc>
        <w:tc>
          <w:tcPr>
            <w:tcW w:type="dxa" w:w="3590"/>
            <w:tcMar>
              <w:top w:w="80" w:type="dxa"/>
              <w:start w:w="120" w:type="dxa"/>
              <w:bottom w:w="80" w:type="dxa"/>
              <w:end w:w="120" w:type="dxa"/>
            </w:tcMar>
            <w:vAlign w:val="center"/>
          </w:tcPr>
          <w:p>
            <w:pPr>
              <w:spacing w:before="0" w:after="0" w:line="252" w:lineRule="auto"/>
              <w:jc w:val="left"/>
            </w:pPr>
            <w:r>
              <w:rPr>
                <w:rFonts w:ascii="Calibri" w:hAnsi="Calibri"/>
                <w:color w:val="243447"/>
                <w:sz w:val="17"/>
              </w:rPr>
              <w:t>Ítems independientes dentro de una misma release o releases relacionadas.</w:t>
            </w:r>
          </w:p>
        </w:tc>
      </w:tr>
      <w:tr>
        <w:trPr>
          <w:cantSplit/>
        </w:trPr>
        <w:tc>
          <w:tcPr>
            <w:tcW w:type="dxa" w:w="1050"/>
            <w:tcMar>
              <w:top w:w="80" w:type="dxa"/>
              <w:start w:w="120" w:type="dxa"/>
              <w:bottom w:w="80" w:type="dxa"/>
              <w:end w:w="120" w:type="dxa"/>
            </w:tcMar>
            <w:vAlign w:val="center"/>
          </w:tcPr>
          <w:p>
            <w:pPr>
              <w:spacing w:before="0" w:after="0" w:line="252" w:lineRule="auto"/>
              <w:jc w:val="left"/>
            </w:pPr>
            <w:r>
              <w:rPr>
                <w:rFonts w:ascii="Calibri" w:hAnsi="Calibri"/>
                <w:color w:val="243447"/>
                <w:sz w:val="17"/>
              </w:rPr>
              <w:t>US-003</w:t>
            </w:r>
          </w:p>
        </w:tc>
        <w:tc>
          <w:tcPr>
            <w:tcW w:type="dxa" w:w="472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Como BA, quiero registrar quién confirmó un ambiente y cuándo para saber si el dato es confiable.</w:t>
            </w:r>
          </w:p>
        </w:tc>
        <w:tc>
          <w:tcPr>
            <w:tcW w:type="dxa" w:w="3590"/>
            <w:tcMar>
              <w:top w:w="80" w:type="dxa"/>
              <w:start w:w="120" w:type="dxa"/>
              <w:bottom w:w="80" w:type="dxa"/>
              <w:end w:w="120" w:type="dxa"/>
            </w:tcMar>
            <w:vAlign w:val="center"/>
          </w:tcPr>
          <w:p>
            <w:pPr>
              <w:spacing w:before="0" w:after="0" w:line="252" w:lineRule="auto"/>
              <w:jc w:val="left"/>
            </w:pPr>
            <w:r>
              <w:rPr>
                <w:rFonts w:ascii="Calibri" w:hAnsi="Calibri"/>
                <w:color w:val="243447"/>
                <w:sz w:val="17"/>
              </w:rPr>
              <w:t>Trazabilidad visible en cada estado.</w:t>
            </w:r>
          </w:p>
        </w:tc>
      </w:tr>
      <w:tr>
        <w:trPr>
          <w:cantSplit/>
        </w:trPr>
        <w:tc>
          <w:tcPr>
            <w:tcW w:type="dxa" w:w="1050"/>
            <w:tcMar>
              <w:top w:w="80" w:type="dxa"/>
              <w:start w:w="120" w:type="dxa"/>
              <w:bottom w:w="80" w:type="dxa"/>
              <w:end w:w="120" w:type="dxa"/>
            </w:tcMar>
            <w:vAlign w:val="center"/>
          </w:tcPr>
          <w:p>
            <w:pPr>
              <w:spacing w:before="0" w:after="0" w:line="252" w:lineRule="auto"/>
              <w:jc w:val="left"/>
            </w:pPr>
            <w:r>
              <w:rPr>
                <w:rFonts w:ascii="Calibri" w:hAnsi="Calibri"/>
                <w:color w:val="243447"/>
                <w:sz w:val="17"/>
              </w:rPr>
              <w:t>US-004</w:t>
            </w:r>
          </w:p>
        </w:tc>
        <w:tc>
          <w:tcPr>
            <w:tcW w:type="dxa" w:w="472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Como BA, quiero distinguir Production de activación a clientes para evitar reportes engañosos.</w:t>
            </w:r>
          </w:p>
        </w:tc>
        <w:tc>
          <w:tcPr>
            <w:tcW w:type="dxa" w:w="359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Campos, estados y alertas separados.</w:t>
            </w:r>
          </w:p>
        </w:tc>
      </w:tr>
      <w:tr>
        <w:trPr>
          <w:cantSplit/>
        </w:trPr>
        <w:tc>
          <w:tcPr>
            <w:tcW w:type="dxa" w:w="1050"/>
            <w:tcMar>
              <w:top w:w="80" w:type="dxa"/>
              <w:start w:w="120" w:type="dxa"/>
              <w:bottom w:w="80" w:type="dxa"/>
              <w:end w:w="120" w:type="dxa"/>
            </w:tcMar>
            <w:vAlign w:val="center"/>
          </w:tcPr>
          <w:p>
            <w:pPr>
              <w:spacing w:before="0" w:after="0" w:line="252" w:lineRule="auto"/>
              <w:jc w:val="left"/>
            </w:pPr>
            <w:r>
              <w:rPr>
                <w:rFonts w:ascii="Calibri" w:hAnsi="Calibri"/>
                <w:color w:val="243447"/>
                <w:sz w:val="17"/>
              </w:rPr>
              <w:t>US-005</w:t>
            </w:r>
          </w:p>
        </w:tc>
        <w:tc>
          <w:tcPr>
            <w:tcW w:type="dxa" w:w="472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Como BA, quiero ver seguimientos vencidos para contactar a la persona correcta.</w:t>
            </w:r>
          </w:p>
        </w:tc>
        <w:tc>
          <w:tcPr>
            <w:tcW w:type="dxa" w:w="3590"/>
            <w:tcMar>
              <w:top w:w="80" w:type="dxa"/>
              <w:start w:w="120" w:type="dxa"/>
              <w:bottom w:w="80" w:type="dxa"/>
              <w:end w:w="120" w:type="dxa"/>
            </w:tcMar>
            <w:vAlign w:val="center"/>
          </w:tcPr>
          <w:p>
            <w:pPr>
              <w:spacing w:before="0" w:after="0" w:line="252" w:lineRule="auto"/>
              <w:jc w:val="left"/>
            </w:pPr>
            <w:r>
              <w:rPr>
                <w:rFonts w:ascii="Calibri" w:hAnsi="Calibri"/>
                <w:color w:val="243447"/>
                <w:sz w:val="17"/>
              </w:rPr>
              <w:t>Bandeja ordenada por prioridad y fecha.</w:t>
            </w:r>
          </w:p>
        </w:tc>
      </w:tr>
      <w:tr>
        <w:trPr>
          <w:cantSplit/>
        </w:trPr>
        <w:tc>
          <w:tcPr>
            <w:tcW w:type="dxa" w:w="1050"/>
            <w:tcMar>
              <w:top w:w="80" w:type="dxa"/>
              <w:start w:w="120" w:type="dxa"/>
              <w:bottom w:w="80" w:type="dxa"/>
              <w:end w:w="120" w:type="dxa"/>
            </w:tcMar>
            <w:vAlign w:val="center"/>
          </w:tcPr>
          <w:p>
            <w:pPr>
              <w:spacing w:before="0" w:after="0" w:line="252" w:lineRule="auto"/>
              <w:jc w:val="left"/>
            </w:pPr>
            <w:r>
              <w:rPr>
                <w:rFonts w:ascii="Calibri" w:hAnsi="Calibri"/>
                <w:color w:val="243447"/>
                <w:sz w:val="17"/>
              </w:rPr>
              <w:t>US-006</w:t>
            </w:r>
          </w:p>
        </w:tc>
        <w:tc>
          <w:tcPr>
            <w:tcW w:type="dxa" w:w="472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Como BA, quiero consultar el historial para explicar cómo cambió un release.</w:t>
            </w:r>
          </w:p>
        </w:tc>
        <w:tc>
          <w:tcPr>
            <w:tcW w:type="dxa" w:w="359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Línea de tiempo inmutable.</w:t>
            </w:r>
          </w:p>
        </w:tc>
      </w:tr>
      <w:tr>
        <w:trPr>
          <w:cantSplit/>
        </w:trPr>
        <w:tc>
          <w:tcPr>
            <w:tcW w:type="dxa" w:w="1050"/>
            <w:tcMar>
              <w:top w:w="80" w:type="dxa"/>
              <w:start w:w="120" w:type="dxa"/>
              <w:bottom w:w="80" w:type="dxa"/>
              <w:end w:w="120" w:type="dxa"/>
            </w:tcMar>
            <w:vAlign w:val="center"/>
          </w:tcPr>
          <w:p>
            <w:pPr>
              <w:spacing w:before="0" w:after="0" w:line="252" w:lineRule="auto"/>
              <w:jc w:val="left"/>
            </w:pPr>
            <w:r>
              <w:rPr>
                <w:rFonts w:ascii="Calibri" w:hAnsi="Calibri"/>
                <w:color w:val="243447"/>
                <w:sz w:val="17"/>
              </w:rPr>
              <w:t>US-007</w:t>
            </w:r>
          </w:p>
        </w:tc>
        <w:tc>
          <w:tcPr>
            <w:tcW w:type="dxa" w:w="472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Como BA, quiero exportar una vista para compartir el estado sin dar acceso a mi aplicación local.</w:t>
            </w:r>
          </w:p>
        </w:tc>
        <w:tc>
          <w:tcPr>
            <w:tcW w:type="dxa" w:w="3590"/>
            <w:tcMar>
              <w:top w:w="80" w:type="dxa"/>
              <w:start w:w="120" w:type="dxa"/>
              <w:bottom w:w="80" w:type="dxa"/>
              <w:end w:w="120" w:type="dxa"/>
            </w:tcMar>
            <w:vAlign w:val="center"/>
          </w:tcPr>
          <w:p>
            <w:pPr>
              <w:spacing w:before="0" w:after="0" w:line="252" w:lineRule="auto"/>
              <w:jc w:val="left"/>
            </w:pPr>
            <w:r>
              <w:rPr>
                <w:rFonts w:ascii="Calibri" w:hAnsi="Calibri"/>
                <w:color w:val="243447"/>
                <w:sz w:val="17"/>
              </w:rPr>
              <w:t>Excel o CSV filtrado.</w:t>
            </w:r>
          </w:p>
        </w:tc>
      </w:tr>
    </w:tbl>
    <w:p>
      <w:pPr>
        <w:spacing w:after="0"/>
      </w:pPr>
    </w:p>
    <w:p>
      <w:r>
        <w:br w:type="page"/>
      </w:r>
    </w:p>
    <w:p>
      <w:pPr>
        <w:pStyle w:val="Heading1"/>
      </w:pPr>
      <w:r>
        <w:t>16. Criterios de aceptación del MVP</w:t>
      </w:r>
    </w:p>
    <w:p>
      <w:pPr>
        <w:pStyle w:val="BodyText"/>
        <w:numPr>
          <w:ilvl w:val="0"/>
          <w:numId w:val="91"/>
        </w:numPr>
      </w:pPr>
      <w:r>
        <w:rPr>
          <w:rFonts w:ascii="Calibri" w:hAnsi="Calibri"/>
          <w:color w:val="243447"/>
        </w:rPr>
        <w:t>Se pueden crear y consultar proyectos, módulos, releases e ítems relacionados sin registros huérfanos.</w:t>
      </w:r>
    </w:p>
    <w:p>
      <w:pPr>
        <w:pStyle w:val="BodyText"/>
        <w:numPr>
          <w:ilvl w:val="0"/>
          <w:numId w:val="91"/>
        </w:numPr>
      </w:pPr>
      <w:r>
        <w:rPr>
          <w:rFonts w:ascii="Calibri" w:hAnsi="Calibri"/>
          <w:color w:val="243447"/>
        </w:rPr>
        <w:t>La aplicación contiene los ambientes MOJA, TATU, SITA y Production, y permite configurar otros.</w:t>
      </w:r>
    </w:p>
    <w:p>
      <w:pPr>
        <w:pStyle w:val="BodyText"/>
        <w:numPr>
          <w:ilvl w:val="0"/>
          <w:numId w:val="91"/>
        </w:numPr>
      </w:pPr>
      <w:r>
        <w:rPr>
          <w:rFonts w:ascii="Calibri" w:hAnsi="Calibri"/>
          <w:color w:val="243447"/>
        </w:rPr>
        <w:t>Cada ítem muestra su estado por ambiente y la última fecha, fuente y persona que lo confirmó.</w:t>
      </w:r>
    </w:p>
    <w:p>
      <w:pPr>
        <w:pStyle w:val="BodyText"/>
        <w:numPr>
          <w:ilvl w:val="0"/>
          <w:numId w:val="91"/>
        </w:numPr>
      </w:pPr>
      <w:r>
        <w:rPr>
          <w:rFonts w:ascii="Calibri" w:hAnsi="Calibri"/>
          <w:color w:val="243447"/>
        </w:rPr>
        <w:t>Production y activación para clientes se registran y visualizan por separado.</w:t>
      </w:r>
    </w:p>
    <w:p>
      <w:pPr>
        <w:pStyle w:val="BodyText"/>
        <w:numPr>
          <w:ilvl w:val="0"/>
          <w:numId w:val="91"/>
        </w:numPr>
      </w:pPr>
      <w:r>
        <w:rPr>
          <w:rFonts w:ascii="Calibri" w:hAnsi="Calibri"/>
          <w:color w:val="243447"/>
        </w:rPr>
        <w:t>Todo ítem abierto sin siguiente acción se identifica automáticamente como excepción.</w:t>
      </w:r>
    </w:p>
    <w:p>
      <w:pPr>
        <w:pStyle w:val="BodyText"/>
        <w:numPr>
          <w:ilvl w:val="0"/>
          <w:numId w:val="91"/>
        </w:numPr>
      </w:pPr>
      <w:r>
        <w:rPr>
          <w:rFonts w:ascii="Calibri" w:hAnsi="Calibri"/>
          <w:color w:val="243447"/>
        </w:rPr>
        <w:t>Los seguimientos vencidos aparecen en el dashboard al abrir o refrescar la aplicación.</w:t>
      </w:r>
    </w:p>
    <w:p>
      <w:pPr>
        <w:pStyle w:val="BodyText"/>
        <w:numPr>
          <w:ilvl w:val="0"/>
          <w:numId w:val="91"/>
        </w:numPr>
      </w:pPr>
      <w:r>
        <w:rPr>
          <w:rFonts w:ascii="Calibri" w:hAnsi="Calibri"/>
          <w:color w:val="243447"/>
        </w:rPr>
        <w:t>Los cambios de estado generan eventos de auditoría consultables y no editables por flujo normal.</w:t>
      </w:r>
    </w:p>
    <w:p>
      <w:pPr>
        <w:pStyle w:val="BodyText"/>
        <w:numPr>
          <w:ilvl w:val="0"/>
          <w:numId w:val="91"/>
        </w:numPr>
      </w:pPr>
      <w:r>
        <w:rPr>
          <w:rFonts w:ascii="Calibri" w:hAnsi="Calibri"/>
          <w:color w:val="243447"/>
        </w:rPr>
        <w:t>El baseline de Reports puede cargarse y reproduce la información conocida, sin Remittances.</w:t>
      </w:r>
    </w:p>
    <w:p>
      <w:pPr>
        <w:pStyle w:val="BodyText"/>
        <w:numPr>
          <w:ilvl w:val="0"/>
          <w:numId w:val="91"/>
        </w:numPr>
      </w:pPr>
      <w:r>
        <w:rPr>
          <w:rFonts w:ascii="Calibri" w:hAnsi="Calibri"/>
          <w:color w:val="243447"/>
        </w:rPr>
        <w:t>La base de datos puede respaldarse y restaurarse siguiendo la documentación incluida.</w:t>
      </w:r>
    </w:p>
    <w:p>
      <w:pPr>
        <w:pStyle w:val="BodyText"/>
        <w:numPr>
          <w:ilvl w:val="0"/>
          <w:numId w:val="91"/>
        </w:numPr>
      </w:pPr>
      <w:r>
        <w:rPr>
          <w:rFonts w:ascii="Calibri" w:hAnsi="Calibri"/>
          <w:color w:val="243447"/>
        </w:rPr>
        <w:t>Las pruebas críticas pasan y no existen defectos bloqueantes durante la validación del piloto.</w:t>
      </w:r>
    </w:p>
    <w:p>
      <w:r>
        <w:br w:type="page"/>
      </w:r>
    </w:p>
    <w:p>
      <w:pPr>
        <w:pStyle w:val="Heading1"/>
      </w:pPr>
      <w:r>
        <w:t>17. Plan de validación y UAT</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700"/>
        <w:gridCol w:w="4700"/>
        <w:gridCol w:w="2960"/>
      </w:tblGrid>
      <w:tr>
        <w:trPr>
          <w:tblHeader w:val="true"/>
        </w:trPr>
        <w:tc>
          <w:tcPr>
            <w:tcW w:type="dxa" w:w="17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Etapa</w:t>
            </w:r>
          </w:p>
        </w:tc>
        <w:tc>
          <w:tcPr>
            <w:tcW w:type="dxa" w:w="47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Actividad</w:t>
            </w:r>
          </w:p>
        </w:tc>
        <w:tc>
          <w:tcPr>
            <w:tcW w:type="dxa" w:w="29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Salida</w:t>
            </w:r>
          </w:p>
        </w:tc>
      </w:tr>
      <w:tr>
        <w:trPr>
          <w:cantSplit/>
        </w:trPr>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1. Preparación</w:t>
            </w:r>
          </w:p>
        </w:tc>
        <w:tc>
          <w:tcPr>
            <w:tcW w:type="dxa" w:w="47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Configurar la aplicación y cargar datos semilla de Reports.</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Instancia local reproducible.</w:t>
            </w:r>
          </w:p>
        </w:tc>
      </w:tr>
      <w:tr>
        <w:trPr>
          <w:cantSplit/>
        </w:trPr>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2. Verificación</w:t>
            </w:r>
          </w:p>
        </w:tc>
        <w:tc>
          <w:tcPr>
            <w:tcW w:type="dxa" w:w="47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Comparar cada registro con matriz, transcripciones y confirmaciones actuales.</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Baseline corregido y aprobado por Jhon.</w:t>
            </w:r>
          </w:p>
        </w:tc>
      </w:tr>
      <w:tr>
        <w:trPr>
          <w:cantSplit/>
        </w:trPr>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3. Uso paralelo</w:t>
            </w:r>
          </w:p>
        </w:tc>
        <w:tc>
          <w:tcPr>
            <w:tcW w:type="dxa" w:w="47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Operar aplicación y Excel durante un periodo corto de transición.</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Diferencias y fricciones documentadas.</w:t>
            </w:r>
          </w:p>
        </w:tc>
      </w:tr>
      <w:tr>
        <w:trPr>
          <w:cantSplit/>
        </w:trPr>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4. UAT</w:t>
            </w:r>
          </w:p>
        </w:tc>
        <w:tc>
          <w:tcPr>
            <w:tcW w:type="dxa" w:w="47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Ejecutar escenarios de creación, promoción, bloqueo, activación y seguimiento.</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Criterios Must aprobados.</w:t>
            </w:r>
          </w:p>
        </w:tc>
      </w:tr>
      <w:tr>
        <w:trPr>
          <w:cantSplit/>
        </w:trPr>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5. Decisión</w:t>
            </w:r>
          </w:p>
        </w:tc>
        <w:tc>
          <w:tcPr>
            <w:tcW w:type="dxa" w:w="47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Definir si la aplicación reemplaza el Excel para Reports.</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Fuente de verdad declarada.</w:t>
            </w:r>
          </w:p>
        </w:tc>
      </w:tr>
      <w:tr>
        <w:trPr>
          <w:cantSplit/>
        </w:trPr>
        <w:tc>
          <w:tcPr>
            <w:tcW w:type="dxa" w:w="17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6. Expansión</w:t>
            </w:r>
          </w:p>
        </w:tc>
        <w:tc>
          <w:tcPr>
            <w:tcW w:type="dxa" w:w="47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Agregar un segundo proyecto con características distintas.</w:t>
            </w:r>
          </w:p>
        </w:tc>
        <w:tc>
          <w:tcPr>
            <w:tcW w:type="dxa" w:w="29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Validación de que el modelo es reutilizable.</w:t>
            </w:r>
          </w:p>
        </w:tc>
      </w:tr>
    </w:tbl>
    <w:p>
      <w:pPr>
        <w:spacing w:after="0"/>
      </w:pPr>
    </w:p>
    <w:p>
      <w:pPr>
        <w:pStyle w:val="Heading2"/>
      </w:pPr>
      <w:r>
        <w:t>17.1 Escenarios mínimos de prueba</w:t>
      </w:r>
    </w:p>
    <w:p>
      <w:pPr>
        <w:pStyle w:val="BodyText"/>
        <w:numPr>
          <w:ilvl w:val="0"/>
          <w:numId w:val="91"/>
        </w:numPr>
      </w:pPr>
      <w:r>
        <w:rPr>
          <w:rFonts w:ascii="Calibri" w:hAnsi="Calibri"/>
          <w:color w:val="243447"/>
        </w:rPr>
        <w:t>Registrar un improvement que está en MOJA y TATU, pero no en SITA ni Production.</w:t>
      </w:r>
    </w:p>
    <w:p>
      <w:pPr>
        <w:pStyle w:val="BodyText"/>
        <w:numPr>
          <w:ilvl w:val="0"/>
          <w:numId w:val="91"/>
        </w:numPr>
      </w:pPr>
      <w:r>
        <w:rPr>
          <w:rFonts w:ascii="Calibri" w:hAnsi="Calibri"/>
          <w:color w:val="243447"/>
        </w:rPr>
        <w:t>Registrar un módulo desplegado en Production cuya activación para clientes no está confirmada.</w:t>
      </w:r>
    </w:p>
    <w:p>
      <w:pPr>
        <w:pStyle w:val="BodyText"/>
        <w:numPr>
          <w:ilvl w:val="0"/>
          <w:numId w:val="91"/>
        </w:numPr>
      </w:pPr>
      <w:r>
        <w:rPr>
          <w:rFonts w:ascii="Calibri" w:hAnsi="Calibri"/>
          <w:color w:val="243447"/>
        </w:rPr>
        <w:t>Mover un ítem a testing, bloquearlo, resolver el bloqueo y verificar su historial.</w:t>
      </w:r>
    </w:p>
    <w:p>
      <w:pPr>
        <w:pStyle w:val="BodyText"/>
        <w:numPr>
          <w:ilvl w:val="0"/>
          <w:numId w:val="91"/>
        </w:numPr>
      </w:pPr>
      <w:r>
        <w:rPr>
          <w:rFonts w:ascii="Calibri" w:hAnsi="Calibri"/>
          <w:color w:val="243447"/>
        </w:rPr>
        <w:t>Crear un seguimiento vencido y confirmar que el dashboard lo prioriza.</w:t>
      </w:r>
    </w:p>
    <w:p>
      <w:pPr>
        <w:pStyle w:val="BodyText"/>
        <w:numPr>
          <w:ilvl w:val="0"/>
          <w:numId w:val="91"/>
        </w:numPr>
      </w:pPr>
      <w:r>
        <w:rPr>
          <w:rFonts w:ascii="Calibri" w:hAnsi="Calibri"/>
          <w:color w:val="243447"/>
        </w:rPr>
        <w:t>Archivar una release y verificar que sus relaciones e historial se conservan.</w:t>
      </w:r>
    </w:p>
    <w:p>
      <w:pPr>
        <w:pStyle w:val="BodyText"/>
        <w:numPr>
          <w:ilvl w:val="0"/>
          <w:numId w:val="91"/>
        </w:numPr>
      </w:pPr>
      <w:r>
        <w:rPr>
          <w:rFonts w:ascii="Calibri" w:hAnsi="Calibri"/>
          <w:color w:val="243447"/>
        </w:rPr>
        <w:t>Exportar una vista filtrada de Reports para revisión externa.</w:t>
      </w:r>
    </w:p>
    <w:p>
      <w:r>
        <w:br w:type="page"/>
      </w:r>
    </w:p>
    <w:p>
      <w:pPr>
        <w:pStyle w:val="Heading1"/>
      </w:pPr>
      <w:r>
        <w:t>18. Riesgos y mitigaciones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700"/>
        <w:gridCol w:w="2850"/>
        <w:gridCol w:w="3810"/>
      </w:tblGrid>
      <w:tr>
        <w:trPr>
          <w:tblHeader w:val="true"/>
        </w:trPr>
        <w:tc>
          <w:tcPr>
            <w:tcW w:type="dxa" w:w="27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Riesgo</w:t>
            </w:r>
          </w:p>
        </w:tc>
        <w:tc>
          <w:tcPr>
            <w:tcW w:type="dxa" w:w="285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Impacto</w:t>
            </w:r>
          </w:p>
        </w:tc>
        <w:tc>
          <w:tcPr>
            <w:tcW w:type="dxa" w:w="381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Mitigación</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Punto único de falla local</w:t>
            </w:r>
          </w:p>
        </w:tc>
        <w:tc>
          <w:tcPr>
            <w:tcW w:type="dxa" w:w="2850"/>
            <w:tcMar>
              <w:top w:w="80" w:type="dxa"/>
              <w:start w:w="120" w:type="dxa"/>
              <w:bottom w:w="80" w:type="dxa"/>
              <w:end w:w="120" w:type="dxa"/>
            </w:tcMar>
            <w:vAlign w:val="center"/>
          </w:tcPr>
          <w:p>
            <w:pPr>
              <w:spacing w:before="0" w:after="0" w:line="252" w:lineRule="auto"/>
              <w:jc w:val="left"/>
            </w:pPr>
            <w:r>
              <w:rPr>
                <w:rFonts w:ascii="Calibri" w:hAnsi="Calibri"/>
                <w:color w:val="243447"/>
                <w:sz w:val="17"/>
              </w:rPr>
              <w:t>Pérdida o indisponibilidad de datos.</w:t>
            </w:r>
          </w:p>
        </w:tc>
        <w:tc>
          <w:tcPr>
            <w:tcW w:type="dxa" w:w="381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Respaldo automático o manual documentado; prueba periódica de restauración.</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Información desactualizada</w:t>
            </w:r>
          </w:p>
        </w:tc>
        <w:tc>
          <w:tcPr>
            <w:tcW w:type="dxa" w:w="2850"/>
            <w:tcMar>
              <w:top w:w="80" w:type="dxa"/>
              <w:start w:w="120" w:type="dxa"/>
              <w:bottom w:w="80" w:type="dxa"/>
              <w:end w:w="120" w:type="dxa"/>
            </w:tcMar>
            <w:vAlign w:val="center"/>
          </w:tcPr>
          <w:p>
            <w:pPr>
              <w:spacing w:before="0" w:after="0" w:line="252" w:lineRule="auto"/>
              <w:jc w:val="left"/>
            </w:pPr>
            <w:r>
              <w:rPr>
                <w:rFonts w:ascii="Calibri" w:hAnsi="Calibri"/>
                <w:color w:val="243447"/>
                <w:sz w:val="17"/>
              </w:rPr>
              <w:t>Decisiones basadas en estados antiguos.</w:t>
            </w:r>
          </w:p>
        </w:tc>
        <w:tc>
          <w:tcPr>
            <w:tcW w:type="dxa" w:w="3810"/>
            <w:tcMar>
              <w:top w:w="80" w:type="dxa"/>
              <w:start w:w="120" w:type="dxa"/>
              <w:bottom w:w="80" w:type="dxa"/>
              <w:end w:w="120" w:type="dxa"/>
            </w:tcMar>
            <w:vAlign w:val="center"/>
          </w:tcPr>
          <w:p>
            <w:pPr>
              <w:spacing w:before="0" w:after="0" w:line="252" w:lineRule="auto"/>
              <w:jc w:val="left"/>
            </w:pPr>
            <w:r>
              <w:rPr>
                <w:rFonts w:ascii="Calibri" w:hAnsi="Calibri"/>
                <w:color w:val="243447"/>
                <w:sz w:val="17"/>
              </w:rPr>
              <w:t>Umbral de obsolescencia, fecha visible y rutina semanal de revisión.</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Sobreingeniería</w:t>
            </w:r>
          </w:p>
        </w:tc>
        <w:tc>
          <w:tcPr>
            <w:tcW w:type="dxa" w:w="285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Retraso del valor operativo.</w:t>
            </w:r>
          </w:p>
        </w:tc>
        <w:tc>
          <w:tcPr>
            <w:tcW w:type="dxa" w:w="3810"/>
            <w:tcMar>
              <w:top w:w="80" w:type="dxa"/>
              <w:start w:w="120" w:type="dxa"/>
              <w:bottom w:w="80" w:type="dxa"/>
              <w:end w:w="120" w:type="dxa"/>
            </w:tcMar>
            <w:vAlign w:val="center"/>
          </w:tcPr>
          <w:p>
            <w:pPr>
              <w:spacing w:before="0" w:after="0" w:line="252" w:lineRule="auto"/>
              <w:jc w:val="left"/>
            </w:pPr>
            <w:r>
              <w:rPr>
                <w:rFonts w:ascii="Calibri" w:hAnsi="Calibri"/>
                <w:color w:val="243447"/>
                <w:sz w:val="17"/>
              </w:rPr>
              <w:t>Proteger el alcance Must; posponer integraciones y multiusuario.</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Baseline incorrecto</w:t>
            </w:r>
          </w:p>
        </w:tc>
        <w:tc>
          <w:tcPr>
            <w:tcW w:type="dxa" w:w="285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Confianza reducida en la herramienta.</w:t>
            </w:r>
          </w:p>
        </w:tc>
        <w:tc>
          <w:tcPr>
            <w:tcW w:type="dxa" w:w="3810"/>
            <w:tcMar>
              <w:top w:w="80" w:type="dxa"/>
              <w:start w:w="120" w:type="dxa"/>
              <w:bottom w:w="80" w:type="dxa"/>
              <w:end w:w="120" w:type="dxa"/>
            </w:tcMar>
            <w:vAlign w:val="center"/>
          </w:tcPr>
          <w:p>
            <w:pPr>
              <w:spacing w:before="0" w:after="0" w:line="252" w:lineRule="auto"/>
              <w:jc w:val="left"/>
            </w:pPr>
            <w:r>
              <w:rPr>
                <w:rFonts w:ascii="Calibri" w:hAnsi="Calibri"/>
                <w:color w:val="243447"/>
                <w:sz w:val="17"/>
              </w:rPr>
              <w:t>Validar datos con Ximena, QA, release contacts y Ameet antes de cerrar.</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Dependencia del usuario</w:t>
            </w:r>
          </w:p>
        </w:tc>
        <w:tc>
          <w:tcPr>
            <w:tcW w:type="dxa" w:w="285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La herramienta no se mantiene durante ausencias.</w:t>
            </w:r>
          </w:p>
        </w:tc>
        <w:tc>
          <w:tcPr>
            <w:tcW w:type="dxa" w:w="3810"/>
            <w:tcMar>
              <w:top w:w="80" w:type="dxa"/>
              <w:start w:w="120" w:type="dxa"/>
              <w:bottom w:w="80" w:type="dxa"/>
              <w:end w:w="120" w:type="dxa"/>
            </w:tcMar>
            <w:vAlign w:val="center"/>
          </w:tcPr>
          <w:p>
            <w:pPr>
              <w:spacing w:before="0" w:after="0" w:line="252" w:lineRule="auto"/>
              <w:jc w:val="left"/>
            </w:pPr>
            <w:r>
              <w:rPr>
                <w:rFonts w:ascii="Calibri" w:hAnsi="Calibri"/>
                <w:color w:val="243447"/>
                <w:sz w:val="17"/>
              </w:rPr>
              <w:t>Documentar proceso y preparar futura transición a entorno compartido.</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Migración futura costosa</w:t>
            </w:r>
          </w:p>
        </w:tc>
        <w:tc>
          <w:tcPr>
            <w:tcW w:type="dxa" w:w="285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Reescritura al crecer.</w:t>
            </w:r>
          </w:p>
        </w:tc>
        <w:tc>
          <w:tcPr>
            <w:tcW w:type="dxa" w:w="3810"/>
            <w:tcMar>
              <w:top w:w="80" w:type="dxa"/>
              <w:start w:w="120" w:type="dxa"/>
              <w:bottom w:w="80" w:type="dxa"/>
              <w:end w:w="120" w:type="dxa"/>
            </w:tcMar>
            <w:vAlign w:val="center"/>
          </w:tcPr>
          <w:p>
            <w:pPr>
              <w:spacing w:before="0" w:after="0" w:line="252" w:lineRule="auto"/>
              <w:jc w:val="left"/>
            </w:pPr>
            <w:r>
              <w:rPr>
                <w:rFonts w:ascii="Calibri" w:hAnsi="Calibri"/>
                <w:color w:val="243447"/>
                <w:sz w:val="17"/>
              </w:rPr>
              <w:t>API REST, IDs estables, UTC, migraciones, auditoría y configuración desacoplada.</w:t>
            </w:r>
          </w:p>
        </w:tc>
      </w:tr>
      <w:tr>
        <w:trPr>
          <w:cantSplit/>
        </w:trPr>
        <w:tc>
          <w:tcPr>
            <w:tcW w:type="dxa" w:w="27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Datos sensibles</w:t>
            </w:r>
          </w:p>
        </w:tc>
        <w:tc>
          <w:tcPr>
            <w:tcW w:type="dxa" w:w="2850"/>
            <w:tcMar>
              <w:top w:w="80" w:type="dxa"/>
              <w:start w:w="120" w:type="dxa"/>
              <w:bottom w:w="80" w:type="dxa"/>
              <w:end w:w="120" w:type="dxa"/>
            </w:tcMar>
            <w:vAlign w:val="center"/>
          </w:tcPr>
          <w:p>
            <w:pPr>
              <w:spacing w:before="0" w:after="0" w:line="252" w:lineRule="auto"/>
              <w:jc w:val="left"/>
            </w:pPr>
            <w:r>
              <w:rPr>
                <w:rFonts w:ascii="Calibri" w:hAnsi="Calibri"/>
                <w:color w:val="243447"/>
                <w:sz w:val="17"/>
              </w:rPr>
              <w:t>Exposición accidental.</w:t>
            </w:r>
          </w:p>
        </w:tc>
        <w:tc>
          <w:tcPr>
            <w:tcW w:type="dxa" w:w="3810"/>
            <w:tcMar>
              <w:top w:w="80" w:type="dxa"/>
              <w:start w:w="120" w:type="dxa"/>
              <w:bottom w:w="80" w:type="dxa"/>
              <w:end w:w="120" w:type="dxa"/>
            </w:tcMar>
            <w:vAlign w:val="center"/>
          </w:tcPr>
          <w:p>
            <w:pPr>
              <w:spacing w:before="0" w:after="0" w:line="252" w:lineRule="auto"/>
              <w:jc w:val="left"/>
            </w:pPr>
            <w:r>
              <w:rPr>
                <w:rFonts w:ascii="Calibri" w:hAnsi="Calibri"/>
                <w:color w:val="243447"/>
                <w:sz w:val="17"/>
              </w:rPr>
              <w:t>No almacenar credenciales ni datos de clientes; preferir referencias seguras.</w:t>
            </w:r>
          </w:p>
        </w:tc>
      </w:tr>
    </w:tbl>
    <w:p>
      <w:pPr>
        <w:spacing w:after="0"/>
      </w:pPr>
    </w:p>
    <w:p>
      <w:r>
        <w:br w:type="page"/>
      </w:r>
    </w:p>
    <w:p>
      <w:pPr>
        <w:pStyle w:val="Heading1"/>
      </w:pPr>
      <w:r>
        <w:t>19. Fases posteriores al MVP</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800"/>
        <w:gridCol w:w="4880"/>
        <w:gridCol w:w="2680"/>
      </w:tblGrid>
      <w:tr>
        <w:trPr>
          <w:tblHeader w:val="true"/>
        </w:trPr>
        <w:tc>
          <w:tcPr>
            <w:tcW w:type="dxa" w:w="18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Fase</w:t>
            </w:r>
          </w:p>
        </w:tc>
        <w:tc>
          <w:tcPr>
            <w:tcW w:type="dxa" w:w="488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Capacidades candidatas</w:t>
            </w:r>
          </w:p>
        </w:tc>
        <w:tc>
          <w:tcPr>
            <w:tcW w:type="dxa" w:w="268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Disparador</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Fase 1 — MVP local</w:t>
            </w:r>
          </w:p>
        </w:tc>
        <w:tc>
          <w:tcPr>
            <w:tcW w:type="dxa" w:w="4880"/>
            <w:tcMar>
              <w:top w:w="80" w:type="dxa"/>
              <w:start w:w="120" w:type="dxa"/>
              <w:bottom w:w="80" w:type="dxa"/>
              <w:end w:w="120" w:type="dxa"/>
            </w:tcMar>
            <w:vAlign w:val="center"/>
          </w:tcPr>
          <w:p>
            <w:pPr>
              <w:spacing w:before="0" w:after="0" w:line="252" w:lineRule="auto"/>
              <w:jc w:val="left"/>
            </w:pPr>
            <w:r>
              <w:rPr>
                <w:rFonts w:ascii="Calibri" w:hAnsi="Calibri"/>
                <w:color w:val="243447"/>
                <w:sz w:val="17"/>
              </w:rPr>
              <w:t>Reports, control manual, dashboard, auditoría y exportación.</w:t>
            </w:r>
          </w:p>
        </w:tc>
        <w:tc>
          <w:tcPr>
            <w:tcW w:type="dxa" w:w="2680"/>
            <w:tcMar>
              <w:top w:w="80" w:type="dxa"/>
              <w:start w:w="120" w:type="dxa"/>
              <w:bottom w:w="80" w:type="dxa"/>
              <w:end w:w="120" w:type="dxa"/>
            </w:tcMar>
            <w:vAlign w:val="center"/>
          </w:tcPr>
          <w:p>
            <w:pPr>
              <w:spacing w:before="0" w:after="0" w:line="252" w:lineRule="auto"/>
              <w:jc w:val="left"/>
            </w:pPr>
            <w:r>
              <w:rPr>
                <w:rFonts w:ascii="Calibri" w:hAnsi="Calibri"/>
                <w:color w:val="243447"/>
                <w:sz w:val="17"/>
              </w:rPr>
              <w:t>Aprobación de este PRD.</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Fase 2 — Portafolio</w:t>
            </w:r>
          </w:p>
        </w:tc>
        <w:tc>
          <w:tcPr>
            <w:tcW w:type="dxa" w:w="4880"/>
            <w:tcMar>
              <w:top w:w="80" w:type="dxa"/>
              <w:start w:w="120" w:type="dxa"/>
              <w:bottom w:w="80" w:type="dxa"/>
              <w:end w:w="120" w:type="dxa"/>
            </w:tcMar>
            <w:vAlign w:val="center"/>
          </w:tcPr>
          <w:p>
            <w:pPr>
              <w:spacing w:before="0" w:after="0" w:line="252" w:lineRule="auto"/>
              <w:jc w:val="left"/>
            </w:pPr>
            <w:r>
              <w:rPr>
                <w:rFonts w:ascii="Calibri" w:hAnsi="Calibri"/>
                <w:color w:val="243447"/>
                <w:sz w:val="17"/>
              </w:rPr>
              <w:t>AdminAPI, Dashboard, Invoicing y Fintrac; reportes comparativos.</w:t>
            </w:r>
          </w:p>
        </w:tc>
        <w:tc>
          <w:tcPr>
            <w:tcW w:type="dxa" w:w="2680"/>
            <w:tcMar>
              <w:top w:w="80" w:type="dxa"/>
              <w:start w:w="120" w:type="dxa"/>
              <w:bottom w:w="80" w:type="dxa"/>
              <w:end w:w="120" w:type="dxa"/>
            </w:tcMar>
            <w:vAlign w:val="center"/>
          </w:tcPr>
          <w:p>
            <w:pPr>
              <w:spacing w:before="0" w:after="0" w:line="252" w:lineRule="auto"/>
              <w:jc w:val="left"/>
            </w:pPr>
            <w:r>
              <w:rPr>
                <w:rFonts w:ascii="Calibri" w:hAnsi="Calibri"/>
                <w:color w:val="243447"/>
                <w:sz w:val="17"/>
              </w:rPr>
              <w:t>Piloto de Reports estable.</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Fase 3 — Colaboración</w:t>
            </w:r>
          </w:p>
        </w:tc>
        <w:tc>
          <w:tcPr>
            <w:tcW w:type="dxa" w:w="4880"/>
            <w:tcMar>
              <w:top w:w="80" w:type="dxa"/>
              <w:start w:w="120" w:type="dxa"/>
              <w:bottom w:w="80" w:type="dxa"/>
              <w:end w:w="120" w:type="dxa"/>
            </w:tcMar>
            <w:vAlign w:val="center"/>
          </w:tcPr>
          <w:p>
            <w:pPr>
              <w:spacing w:before="0" w:after="0" w:line="252" w:lineRule="auto"/>
              <w:jc w:val="left"/>
            </w:pPr>
            <w:r>
              <w:rPr>
                <w:rFonts w:ascii="Calibri" w:hAnsi="Calibri"/>
                <w:color w:val="243447"/>
                <w:sz w:val="17"/>
              </w:rPr>
              <w:t>Hosting, múltiples usuarios, roles, Entra, HTTPS y backups gestionados.</w:t>
            </w:r>
          </w:p>
        </w:tc>
        <w:tc>
          <w:tcPr>
            <w:tcW w:type="dxa" w:w="2680"/>
            <w:tcMar>
              <w:top w:w="80" w:type="dxa"/>
              <w:start w:w="120" w:type="dxa"/>
              <w:bottom w:w="80" w:type="dxa"/>
              <w:end w:w="120" w:type="dxa"/>
            </w:tcMar>
            <w:vAlign w:val="center"/>
          </w:tcPr>
          <w:p>
            <w:pPr>
              <w:spacing w:before="0" w:after="0" w:line="252" w:lineRule="auto"/>
              <w:jc w:val="left"/>
            </w:pPr>
            <w:r>
              <w:rPr>
                <w:rFonts w:ascii="Calibri" w:hAnsi="Calibri"/>
                <w:color w:val="243447"/>
                <w:sz w:val="17"/>
              </w:rPr>
              <w:t>Necesidad real de acceso compartido.</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Fase 4 — Integraciones</w:t>
            </w:r>
          </w:p>
        </w:tc>
        <w:tc>
          <w:tcPr>
            <w:tcW w:type="dxa" w:w="4880"/>
            <w:tcMar>
              <w:top w:w="80" w:type="dxa"/>
              <w:start w:w="120" w:type="dxa"/>
              <w:bottom w:w="80" w:type="dxa"/>
              <w:end w:w="120" w:type="dxa"/>
            </w:tcMar>
            <w:vAlign w:val="center"/>
          </w:tcPr>
          <w:p>
            <w:pPr>
              <w:spacing w:before="0" w:after="0" w:line="252" w:lineRule="auto"/>
              <w:jc w:val="left"/>
            </w:pPr>
            <w:r>
              <w:rPr>
                <w:rFonts w:ascii="Calibri" w:hAnsi="Calibri"/>
                <w:color w:val="243447"/>
                <w:sz w:val="17"/>
              </w:rPr>
              <w:t>Jira, Teams/email, pipelines, Power BI y notificaciones.</w:t>
            </w:r>
          </w:p>
        </w:tc>
        <w:tc>
          <w:tcPr>
            <w:tcW w:type="dxa" w:w="2680"/>
            <w:tcMar>
              <w:top w:w="80" w:type="dxa"/>
              <w:start w:w="120" w:type="dxa"/>
              <w:bottom w:w="80" w:type="dxa"/>
              <w:end w:w="120" w:type="dxa"/>
            </w:tcMar>
            <w:vAlign w:val="center"/>
          </w:tcPr>
          <w:p>
            <w:pPr>
              <w:spacing w:before="0" w:after="0" w:line="252" w:lineRule="auto"/>
              <w:jc w:val="left"/>
            </w:pPr>
            <w:r>
              <w:rPr>
                <w:rFonts w:ascii="Calibri" w:hAnsi="Calibri"/>
                <w:color w:val="243447"/>
                <w:sz w:val="17"/>
              </w:rPr>
              <w:t>Proceso maduro y APIs disponibles.</w:t>
            </w:r>
          </w:p>
        </w:tc>
      </w:tr>
      <w:tr>
        <w:trPr>
          <w:cantSplit/>
        </w:trPr>
        <w:tc>
          <w:tcPr>
            <w:tcW w:type="dxa" w:w="18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Fase 5 — Analítica</w:t>
            </w:r>
          </w:p>
        </w:tc>
        <w:tc>
          <w:tcPr>
            <w:tcW w:type="dxa" w:w="488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Lead time, aging, cuellos de botella, confiabilidad de releases.</w:t>
            </w:r>
          </w:p>
        </w:tc>
        <w:tc>
          <w:tcPr>
            <w:tcW w:type="dxa" w:w="2680"/>
            <w:tcMar>
              <w:top w:w="80" w:type="dxa"/>
              <w:start w:w="120" w:type="dxa"/>
              <w:bottom w:w="80" w:type="dxa"/>
              <w:end w:w="120" w:type="dxa"/>
            </w:tcMar>
            <w:vAlign w:val="center"/>
          </w:tcPr>
          <w:p>
            <w:pPr>
              <w:spacing w:before="0" w:after="0" w:line="252" w:lineRule="auto"/>
              <w:jc w:val="left"/>
            </w:pPr>
            <w:r>
              <w:rPr>
                <w:rFonts w:ascii="Calibri" w:hAnsi="Calibri"/>
                <w:color w:val="243447"/>
                <w:sz w:val="17"/>
              </w:rPr>
              <w:t>Datos históricos suficientes y consistentes.</w:t>
            </w:r>
          </w:p>
        </w:tc>
      </w:tr>
    </w:tbl>
    <w:p>
      <w:pPr>
        <w:spacing w:after="0"/>
      </w:pPr>
    </w:p>
    <w:p>
      <w:r>
        <w:br w:type="page"/>
      </w:r>
    </w:p>
    <w:p>
      <w:pPr>
        <w:pStyle w:val="Heading1"/>
      </w:pPr>
      <w:r>
        <w:t>20. Preguntas abiertas</w:t>
      </w:r>
    </w:p>
    <w:p>
      <w:pPr>
        <w:pStyle w:val="BodyText"/>
      </w:pPr>
      <w:r>
        <w:rPr>
          <w:rFonts w:ascii="Calibri" w:hAnsi="Calibri"/>
          <w:i w:val="0"/>
          <w:color w:val="243447"/>
        </w:rPr>
        <w:t>Estas preguntas no impiden revisar el PRD, pero deben resolverse antes de estimar o construir las historias afectadas.</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000"/>
        <w:gridCol w:w="5200"/>
        <w:gridCol w:w="3160"/>
      </w:tblGrid>
      <w:tr>
        <w:trPr>
          <w:tblHeader w:val="true"/>
        </w:trPr>
        <w:tc>
          <w:tcPr>
            <w:tcW w:type="dxa" w:w="10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ID</w:t>
            </w:r>
          </w:p>
        </w:tc>
        <w:tc>
          <w:tcPr>
            <w:tcW w:type="dxa" w:w="52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Pregunta</w:t>
            </w:r>
          </w:p>
        </w:tc>
        <w:tc>
          <w:tcPr>
            <w:tcW w:type="dxa" w:w="31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7"/>
              </w:rPr>
              <w:t>Decisión requerida antes de</w:t>
            </w:r>
          </w:p>
        </w:tc>
      </w:tr>
      <w:tr>
        <w:trPr>
          <w:cantSplit/>
        </w:trPr>
        <w:tc>
          <w:tcPr>
            <w:tcW w:type="dxa" w:w="10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OQ-01</w:t>
            </w:r>
          </w:p>
        </w:tc>
        <w:tc>
          <w:tcPr>
            <w:tcW w:type="dxa" w:w="52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¿Qué versiones de PHP, Laravel, Node, Angular y MySQL están instaladas?</w:t>
            </w:r>
          </w:p>
        </w:tc>
        <w:tc>
          <w:tcPr>
            <w:tcW w:type="dxa" w:w="31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Preparar el entorno y dependencias.</w:t>
            </w:r>
          </w:p>
        </w:tc>
      </w:tr>
      <w:tr>
        <w:trPr>
          <w:cantSplit/>
        </w:trPr>
        <w:tc>
          <w:tcPr>
            <w:tcW w:type="dxa" w:w="10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OQ-02</w:t>
            </w:r>
          </w:p>
        </w:tc>
        <w:tc>
          <w:tcPr>
            <w:tcW w:type="dxa" w:w="52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¿Se requiere login local desde el MVP o basta un actor lógico fijo?</w:t>
            </w:r>
          </w:p>
        </w:tc>
        <w:tc>
          <w:tcPr>
            <w:tcW w:type="dxa" w:w="31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Implementar autenticación y auditoría.</w:t>
            </w:r>
          </w:p>
        </w:tc>
      </w:tr>
      <w:tr>
        <w:trPr>
          <w:cantSplit/>
        </w:trPr>
        <w:tc>
          <w:tcPr>
            <w:tcW w:type="dxa" w:w="10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OQ-03</w:t>
            </w:r>
          </w:p>
        </w:tc>
        <w:tc>
          <w:tcPr>
            <w:tcW w:type="dxa" w:w="52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¿La evidencia será solo URL/referencia o también archivo adjunto?</w:t>
            </w:r>
          </w:p>
        </w:tc>
        <w:tc>
          <w:tcPr>
            <w:tcW w:type="dxa" w:w="31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Diseñar almacenamiento y respaldos.</w:t>
            </w:r>
          </w:p>
        </w:tc>
      </w:tr>
      <w:tr>
        <w:trPr>
          <w:cantSplit/>
        </w:trPr>
        <w:tc>
          <w:tcPr>
            <w:tcW w:type="dxa" w:w="10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OQ-04</w:t>
            </w:r>
          </w:p>
        </w:tc>
        <w:tc>
          <w:tcPr>
            <w:tcW w:type="dxa" w:w="52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¿Los ambientes son globales o pueden variar por proyecto?</w:t>
            </w:r>
          </w:p>
        </w:tc>
        <w:tc>
          <w:tcPr>
            <w:tcW w:type="dxa" w:w="31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Cerrar el modelo de configuración.</w:t>
            </w:r>
          </w:p>
        </w:tc>
      </w:tr>
      <w:tr>
        <w:trPr>
          <w:cantSplit/>
        </w:trPr>
        <w:tc>
          <w:tcPr>
            <w:tcW w:type="dxa" w:w="10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OQ-05</w:t>
            </w:r>
          </w:p>
        </w:tc>
        <w:tc>
          <w:tcPr>
            <w:tcW w:type="dxa" w:w="52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¿Cuántos días sin verificación convierten un estado en “obsoleto”?</w:t>
            </w:r>
          </w:p>
        </w:tc>
        <w:tc>
          <w:tcPr>
            <w:tcW w:type="dxa" w:w="31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Implementar alertas de vigencia.</w:t>
            </w:r>
          </w:p>
        </w:tc>
      </w:tr>
      <w:tr>
        <w:trPr>
          <w:cantSplit/>
        </w:trPr>
        <w:tc>
          <w:tcPr>
            <w:tcW w:type="dxa" w:w="10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OQ-06</w:t>
            </w:r>
          </w:p>
        </w:tc>
        <w:tc>
          <w:tcPr>
            <w:tcW w:type="dxa" w:w="52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¿Cuál será la frecuencia y ubicación de respaldos?</w:t>
            </w:r>
          </w:p>
        </w:tc>
        <w:tc>
          <w:tcPr>
            <w:tcW w:type="dxa" w:w="31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Cerrar operación local.</w:t>
            </w:r>
          </w:p>
        </w:tc>
      </w:tr>
      <w:tr>
        <w:trPr>
          <w:cantSplit/>
        </w:trPr>
        <w:tc>
          <w:tcPr>
            <w:tcW w:type="dxa" w:w="10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OQ-07</w:t>
            </w:r>
          </w:p>
        </w:tc>
        <w:tc>
          <w:tcPr>
            <w:tcW w:type="dxa" w:w="52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¿Excel o la aplicación será fuente de verdad durante el piloto?</w:t>
            </w:r>
          </w:p>
        </w:tc>
        <w:tc>
          <w:tcPr>
            <w:tcW w:type="dxa" w:w="31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Iniciar uso paralelo.</w:t>
            </w:r>
          </w:p>
        </w:tc>
      </w:tr>
      <w:tr>
        <w:trPr>
          <w:cantSplit/>
        </w:trPr>
        <w:tc>
          <w:tcPr>
            <w:tcW w:type="dxa" w:w="10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OQ-08</w:t>
            </w:r>
          </w:p>
        </w:tc>
        <w:tc>
          <w:tcPr>
            <w:tcW w:type="dxa" w:w="5200"/>
            <w:tcMar>
              <w:top w:w="80" w:type="dxa"/>
              <w:start w:w="120" w:type="dxa"/>
              <w:bottom w:w="80" w:type="dxa"/>
              <w:end w:w="120" w:type="dxa"/>
            </w:tcMar>
            <w:vAlign w:val="center"/>
          </w:tcPr>
          <w:p>
            <w:pPr>
              <w:spacing w:before="0" w:after="0" w:line="252" w:lineRule="auto"/>
              <w:jc w:val="left"/>
            </w:pPr>
            <w:r>
              <w:rPr>
                <w:rFonts w:ascii="Calibri" w:hAnsi="Calibri"/>
                <w:color w:val="243447"/>
                <w:sz w:val="17"/>
              </w:rPr>
              <w:t>¿Qué segundo proyecto probará mejor la reutilización del modelo?</w:t>
            </w:r>
          </w:p>
        </w:tc>
        <w:tc>
          <w:tcPr>
            <w:tcW w:type="dxa" w:w="3160"/>
            <w:tcMar>
              <w:top w:w="80" w:type="dxa"/>
              <w:start w:w="120" w:type="dxa"/>
              <w:bottom w:w="80" w:type="dxa"/>
              <w:end w:w="120" w:type="dxa"/>
            </w:tcMar>
            <w:vAlign w:val="center"/>
          </w:tcPr>
          <w:p>
            <w:pPr>
              <w:spacing w:before="0" w:after="0" w:line="252" w:lineRule="auto"/>
              <w:jc w:val="left"/>
            </w:pPr>
            <w:r>
              <w:rPr>
                <w:rFonts w:ascii="Calibri" w:hAnsi="Calibri"/>
                <w:color w:val="243447"/>
                <w:sz w:val="17"/>
              </w:rPr>
              <w:t>Planificar expansión.</w:t>
            </w:r>
          </w:p>
        </w:tc>
      </w:tr>
    </w:tbl>
    <w:p>
      <w:pPr>
        <w:spacing w:after="0"/>
      </w:pPr>
    </w:p>
    <w:p>
      <w:pPr>
        <w:pStyle w:val="Heading1"/>
      </w:pPr>
      <w:r>
        <w:t>21. Definition of Done del producto</w:t>
      </w:r>
    </w:p>
    <w:p>
      <w:pPr>
        <w:pStyle w:val="BodyText"/>
        <w:numPr>
          <w:ilvl w:val="0"/>
          <w:numId w:val="91"/>
        </w:numPr>
      </w:pPr>
      <w:r>
        <w:rPr>
          <w:rFonts w:ascii="Calibri" w:hAnsi="Calibri"/>
          <w:color w:val="243447"/>
        </w:rPr>
        <w:t>Todos los requerimientos Must están implementados, probados y aceptados por Jhon.</w:t>
      </w:r>
    </w:p>
    <w:p>
      <w:pPr>
        <w:pStyle w:val="BodyText"/>
        <w:numPr>
          <w:ilvl w:val="0"/>
          <w:numId w:val="91"/>
        </w:numPr>
      </w:pPr>
      <w:r>
        <w:rPr>
          <w:rFonts w:ascii="Calibri" w:hAnsi="Calibri"/>
          <w:color w:val="243447"/>
        </w:rPr>
        <w:t>No existen defectos bloqueantes o de pérdida de datos abiertos.</w:t>
      </w:r>
    </w:p>
    <w:p>
      <w:pPr>
        <w:pStyle w:val="BodyText"/>
        <w:numPr>
          <w:ilvl w:val="0"/>
          <w:numId w:val="91"/>
        </w:numPr>
      </w:pPr>
      <w:r>
        <w:rPr>
          <w:rFonts w:ascii="Calibri" w:hAnsi="Calibri"/>
          <w:color w:val="243447"/>
        </w:rPr>
        <w:t>El baseline de Reports está validado y Remittances está excluido.</w:t>
      </w:r>
    </w:p>
    <w:p>
      <w:pPr>
        <w:pStyle w:val="BodyText"/>
        <w:numPr>
          <w:ilvl w:val="0"/>
          <w:numId w:val="91"/>
        </w:numPr>
      </w:pPr>
      <w:r>
        <w:rPr>
          <w:rFonts w:ascii="Calibri" w:hAnsi="Calibri"/>
          <w:color w:val="243447"/>
        </w:rPr>
        <w:t>La instalación desde cero y el arranque local están documentados y probados.</w:t>
      </w:r>
    </w:p>
    <w:p>
      <w:pPr>
        <w:pStyle w:val="BodyText"/>
        <w:numPr>
          <w:ilvl w:val="0"/>
          <w:numId w:val="91"/>
        </w:numPr>
      </w:pPr>
      <w:r>
        <w:rPr>
          <w:rFonts w:ascii="Calibri" w:hAnsi="Calibri"/>
          <w:color w:val="243447"/>
        </w:rPr>
        <w:t>Existe un respaldo válido y se ha demostrado su restauración.</w:t>
      </w:r>
    </w:p>
    <w:p>
      <w:pPr>
        <w:pStyle w:val="BodyText"/>
        <w:numPr>
          <w:ilvl w:val="0"/>
          <w:numId w:val="91"/>
        </w:numPr>
      </w:pPr>
      <w:r>
        <w:rPr>
          <w:rFonts w:ascii="Calibri" w:hAnsi="Calibri"/>
          <w:color w:val="243447"/>
        </w:rPr>
        <w:t>Se ha acordado la fuente de verdad operativa al finalizar el piloto.</w:t>
      </w:r>
    </w:p>
    <w:p>
      <w:pPr>
        <w:pStyle w:val="BodyText"/>
        <w:numPr>
          <w:ilvl w:val="0"/>
          <w:numId w:val="91"/>
        </w:numPr>
      </w:pPr>
      <w:r>
        <w:rPr>
          <w:rFonts w:ascii="Calibri" w:hAnsi="Calibri"/>
          <w:color w:val="243447"/>
        </w:rPr>
        <w:t>Las decisiones diferidas y el backlog posterior están registrados.</w:t>
      </w:r>
    </w:p>
    <w:p>
      <w:r>
        <w:br w:type="page"/>
      </w:r>
    </w:p>
    <w:p>
      <w:pPr>
        <w:pStyle w:val="Heading1"/>
      </w:pPr>
      <w:r>
        <w:t>22. Glosario</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400"/>
        <w:gridCol w:w="6960"/>
      </w:tblGrid>
      <w:tr>
        <w:trPr>
          <w:tblHeader w:val="true"/>
        </w:trPr>
        <w:tc>
          <w:tcPr>
            <w:tcW w:type="dxa" w:w="24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Término</w:t>
            </w:r>
          </w:p>
        </w:tc>
        <w:tc>
          <w:tcPr>
            <w:tcW w:type="dxa" w:w="69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Definición operativa</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MOJA</w:t>
            </w:r>
          </w:p>
        </w:tc>
        <w:tc>
          <w:tcPr>
            <w:tcW w:type="dxa" w:w="69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Ambiente inicial de desarrollo/validación usado en el flujo de Reports.</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TATU</w:t>
            </w:r>
          </w:p>
        </w:tc>
        <w:tc>
          <w:tcPr>
            <w:tcW w:type="dxa" w:w="69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Ambiente de pruebas; también mencionado como TATU 2 en las reuniones.</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SITA</w:t>
            </w:r>
          </w:p>
        </w:tc>
        <w:tc>
          <w:tcPr>
            <w:tcW w:type="dxa" w:w="69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Ambiente previo a Production; no equivale automáticamente a producción.</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Production</w:t>
            </w:r>
          </w:p>
        </w:tc>
        <w:tc>
          <w:tcPr>
            <w:tcW w:type="dxa" w:w="69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Ambiente productivo donde se despliega una versión.</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Client Activation</w:t>
            </w:r>
          </w:p>
        </w:tc>
        <w:tc>
          <w:tcPr>
            <w:tcW w:type="dxa" w:w="69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Habilitación real de una funcionalidad para uno o más clientes, grupos o planes.</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Release</w:t>
            </w:r>
          </w:p>
        </w:tc>
        <w:tc>
          <w:tcPr>
            <w:tcW w:type="dxa" w:w="69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Conjunto planificado de cambios que se promueven como una unidad de coordinación.</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Release Item</w:t>
            </w:r>
          </w:p>
        </w:tc>
        <w:tc>
          <w:tcPr>
            <w:tcW w:type="dxa" w:w="69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Unidad mínima cuyo avance, evidencia y siguientes acciones se controlan.</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Evidence</w:t>
            </w:r>
          </w:p>
        </w:tc>
        <w:tc>
          <w:tcPr>
            <w:tcW w:type="dxa" w:w="69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Referencia que permite sustentar una afirmación de estado.</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Stale / obsoleto</w:t>
            </w:r>
          </w:p>
        </w:tc>
        <w:tc>
          <w:tcPr>
            <w:tcW w:type="dxa" w:w="69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Estado cuya verificación supera el umbral definido.</w:t>
            </w:r>
          </w:p>
        </w:tc>
      </w:tr>
      <w:tr>
        <w:trPr>
          <w:cantSplit/>
        </w:trPr>
        <w:tc>
          <w:tcPr>
            <w:tcW w:type="dxa" w:w="24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Soft delete</w:t>
            </w:r>
          </w:p>
        </w:tc>
        <w:tc>
          <w:tcPr>
            <w:tcW w:type="dxa" w:w="69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Archivo lógico que conserva relaciones e historial.</w:t>
            </w:r>
          </w:p>
        </w:tc>
      </w:tr>
    </w:tbl>
    <w:p>
      <w:pPr>
        <w:spacing w:after="0"/>
      </w:pPr>
    </w:p>
    <w:p>
      <w:r>
        <w:br w:type="page"/>
      </w:r>
    </w:p>
    <w:p>
      <w:pPr>
        <w:pStyle w:val="Heading1"/>
      </w:pPr>
      <w:r>
        <w:t>23. Aprobaciones</w:t>
      </w:r>
    </w:p>
    <w:p>
      <w:pPr>
        <w:pStyle w:val="BodyText"/>
      </w:pPr>
      <w:r>
        <w:rPr>
          <w:rFonts w:ascii="Calibri" w:hAnsi="Calibri"/>
          <w:i w:val="0"/>
          <w:color w:val="243447"/>
        </w:rPr>
        <w:t>La aprobación de este documento confirma el problema, el alcance y los criterios de aceptación. No implica todavía una estimación definitiva ni un compromiso de fecha de entrega.</w:t>
      </w:r>
    </w:p>
    <w:tbl>
      <w:tblPr>
        <w:tblStyle w:val="TableGrid"/>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300"/>
        <w:gridCol w:w="2800"/>
        <w:gridCol w:w="2200"/>
        <w:gridCol w:w="2060"/>
      </w:tblGrid>
      <w:tr>
        <w:trPr>
          <w:tblHeader w:val="true"/>
        </w:trPr>
        <w:tc>
          <w:tcPr>
            <w:tcW w:type="dxa" w:w="23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Rol</w:t>
            </w:r>
          </w:p>
        </w:tc>
        <w:tc>
          <w:tcPr>
            <w:tcW w:type="dxa" w:w="28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Nombre</w:t>
            </w:r>
          </w:p>
        </w:tc>
        <w:tc>
          <w:tcPr>
            <w:tcW w:type="dxa" w:w="220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Decisión</w:t>
            </w:r>
          </w:p>
        </w:tc>
        <w:tc>
          <w:tcPr>
            <w:tcW w:type="dxa" w:w="2060"/>
            <w:shd w:fill="F2F4F7"/>
            <w:tcMar>
              <w:top w:w="80" w:type="dxa"/>
              <w:start w:w="120" w:type="dxa"/>
              <w:bottom w:w="80" w:type="dxa"/>
              <w:end w:w="120" w:type="dxa"/>
            </w:tcMar>
            <w:vAlign w:val="center"/>
          </w:tcPr>
          <w:p>
            <w:pPr>
              <w:spacing w:before="0" w:after="0" w:line="240" w:lineRule="auto"/>
              <w:jc w:val="center"/>
            </w:pPr>
            <w:r>
              <w:rPr>
                <w:rFonts w:ascii="Calibri" w:hAnsi="Calibri"/>
                <w:b/>
                <w:color w:val="17365D"/>
                <w:sz w:val="18"/>
              </w:rPr>
              <w:t>Fecha</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Product Owner / BA</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Jhon</w:t>
            </w:r>
          </w:p>
        </w:tc>
        <w:tc>
          <w:tcPr>
            <w:tcW w:type="dxa" w:w="22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Pendiente</w:t>
            </w:r>
          </w:p>
        </w:tc>
        <w:tc>
          <w:tcPr>
            <w:tcW w:type="dxa" w:w="20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Revisor técnico</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Pendiente de definición</w:t>
            </w:r>
          </w:p>
        </w:tc>
        <w:tc>
          <w:tcPr>
            <w:tcW w:type="dxa" w:w="22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Pendiente</w:t>
            </w:r>
          </w:p>
        </w:tc>
        <w:tc>
          <w:tcPr>
            <w:tcW w:type="dxa" w:w="20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w:t>
            </w:r>
          </w:p>
        </w:tc>
      </w:tr>
      <w:tr>
        <w:trPr>
          <w:cantSplit/>
        </w:trPr>
        <w:tc>
          <w:tcPr>
            <w:tcW w:type="dxa" w:w="23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Validador del piloto Reports</w:t>
            </w:r>
          </w:p>
        </w:tc>
        <w:tc>
          <w:tcPr>
            <w:tcW w:type="dxa" w:w="28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Ximena / QA / release contact</w:t>
            </w:r>
          </w:p>
        </w:tc>
        <w:tc>
          <w:tcPr>
            <w:tcW w:type="dxa" w:w="2200"/>
            <w:tcMar>
              <w:top w:w="80" w:type="dxa"/>
              <w:start w:w="120" w:type="dxa"/>
              <w:bottom w:w="80" w:type="dxa"/>
              <w:end w:w="120" w:type="dxa"/>
            </w:tcMar>
            <w:vAlign w:val="center"/>
          </w:tcPr>
          <w:p>
            <w:pPr>
              <w:spacing w:before="0" w:after="0" w:line="252" w:lineRule="auto"/>
              <w:jc w:val="left"/>
            </w:pPr>
            <w:r>
              <w:rPr>
                <w:rFonts w:ascii="Calibri" w:hAnsi="Calibri"/>
                <w:color w:val="243447"/>
                <w:sz w:val="18"/>
              </w:rPr>
              <w:t>Pendiente</w:t>
            </w:r>
          </w:p>
        </w:tc>
        <w:tc>
          <w:tcPr>
            <w:tcW w:type="dxa" w:w="2060"/>
            <w:tcMar>
              <w:top w:w="80" w:type="dxa"/>
              <w:start w:w="120" w:type="dxa"/>
              <w:bottom w:w="80" w:type="dxa"/>
              <w:end w:w="120" w:type="dxa"/>
            </w:tcMar>
            <w:vAlign w:val="center"/>
          </w:tcPr>
          <w:p>
            <w:pPr>
              <w:spacing w:before="0" w:after="0" w:line="252" w:lineRule="auto"/>
              <w:jc w:val="left"/>
            </w:pPr>
            <w:r>
              <w:rPr>
                <w:rFonts w:ascii="Calibri" w:hAnsi="Calibri"/>
                <w:color w:val="243447"/>
                <w:sz w:val="18"/>
              </w:rPr>
              <w:t>—</w:t>
            </w:r>
          </w:p>
        </w:tc>
      </w:tr>
    </w:tbl>
    <w:p>
      <w:pPr>
        <w:spacing w:after="0"/>
      </w:pPr>
    </w:p>
    <w:p>
      <w:pPr>
        <w:pStyle w:val="Callout"/>
        <w:shd w:fill="E9F7EF"/>
        <w:pBdr>
          <w:left w:val="single" w:sz="18" w:space="8" w:color="2E7D32"/>
        </w:pBdr>
      </w:pPr>
      <w:r>
        <w:rPr>
          <w:rFonts w:ascii="Calibri" w:hAnsi="Calibri"/>
          <w:b/>
          <w:color w:val="17365D"/>
        </w:rPr>
        <w:t xml:space="preserve">SIGUIENTE PASO  </w:t>
      </w:r>
      <w:r>
        <w:rPr>
          <w:rFonts w:ascii="Calibri" w:hAnsi="Calibri"/>
          <w:color w:val="243447"/>
        </w:rPr>
        <w:t>Revisar las preguntas abiertas, confirmar el baseline de Reports y convertir los requerimientos Must en un backlog estimable por verticales de producto.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667085"/>
        <w:sz w:val="17"/>
      </w:rPr>
      <w:t xml:space="preserve">Borrador v0.1  |  </w:t>
    </w:r>
    <w:r>
      <w:rPr>
        <w:rFonts w:ascii="Calibri" w:hAnsi="Calibri"/>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4" w:color="D0D5DD"/>
      </w:pBdr>
    </w:pPr>
    <w:r>
      <w:rPr>
        <w:rFonts w:ascii="Calibri" w:hAnsi="Calibri"/>
        <w:b/>
        <w:color w:val="667085"/>
        <w:sz w:val="17"/>
      </w:rPr>
      <w:t>PROJECT &amp; RELEASE CONTROL  |  PRD — MVP LOCAL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91">
    <w:abstractNumId w:val="91"/>
  </w:num>
  <w:abstractNum w:abstractNumId="92">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92">
    <w:abstractNumId w:val="92"/>
  </w:num>
  <w:abstractNum w:abstractNumId="93">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efore="0" w:line="264" w:lineRule="auto"/>
    </w:pPr>
    <w:rPr>
      <w:rFonts w:ascii="Calibri" w:hAnsi="Calibri"/>
      <w:color w:val="243447"/>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20" w:after="200" w:line="259" w:lineRule="auto"/>
      <w:ind w:left="173" w:right="115"/>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Sistema de Control de Proyectos y Releases - MVP Local</dc:title>
  <dc:subject>Requerimientos para un MVP local con Angular, Laravel y MySQL</dc:subject>
  <dc:creator>Jhon</dc:creator>
  <cp:keywords>PRD, MVP, Releases, Reports, Laravel, Angular, MySQL</cp:keywords>
  <dc:description>Borrador v0.1 generado a partir de la matriz y reuniones de Reports.</dc:description>
  <cp:lastModifiedBy/>
  <cp:revision>1</cp:revision>
  <dcterms:created xsi:type="dcterms:W3CDTF">2013-12-23T23:15:00Z</dcterms:created>
  <dcterms:modified xsi:type="dcterms:W3CDTF">2013-12-23T23:15:00Z</dcterms:modified>
  <cp:category/>
</cp:coreProperties>
</file>