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1.</w:t>
      </w:r>
      <w:r>
        <w:rPr>
          <w:rFonts w:ascii="Calibri" w:hAnsi="Calibri"/>
          <w:sz w:val="24"/>
          <w:color w:val="333333"/>
        </w:rPr>
        <w:t xml:space="preserve"> Main bibliometric indicators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Hepatitis B research in Peru, 1988–2023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span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1988–2023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Documents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Sources (journals/universities)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Authors (deduplicated)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Authors per document (mean)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Single-authored documents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Co-authored documents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International collaboration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Lotka exponent (n)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2.07 (R² = 0.84)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Annual growth rate (CAGR)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2.28%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2026-06-22T15:41:52Z</dcterms:created>
  <dcterms:modified xsi:type="dcterms:W3CDTF">2026-06-22T15:41:52Z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