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TERCERA ACTIVIDAD EVALUATIVA – DEL PROBLEMA AL DATO LIMPIO</w:t>
      </w:r>
    </w:p>
    <w:p>
      <w:r>
        <w:br w:type="page"/>
      </w:r>
    </w:p>
    <w:p>
      <w:pPr>
        <w:pStyle w:val="Heading1"/>
      </w:pPr>
      <w:r>
        <w:t>Informe Ejecutivo Inicial</w:t>
      </w:r>
    </w:p>
    <w:p>
      <w:r>
        <w:rPr>
          <w:b w:val="0"/>
          <w:i w:val="0"/>
        </w:rPr>
        <w:t>Consultoría en Datos: Viabilidad de Granja Solar en Colombia</w:t>
      </w:r>
    </w:p>
    <w:p>
      <w:r>
        <w:rPr>
          <w:b w:val="0"/>
          <w:i w:val="0"/>
        </w:rPr>
        <w:t>Primera Actividad Evaluativa · Visualización de Datos · ITM 2026</w:t>
      </w:r>
    </w:p>
    <w:p>
      <w:r>
        <w:rPr>
          <w:b w:val="0"/>
          <w:i w:val="0"/>
        </w:rPr>
      </w:r>
    </w:p>
    <w:p>
      <w:r>
        <w:rPr>
          <w:b w:val="0"/>
          <w:i w:val="0"/>
        </w:rPr>
        <w:t>Empresa contratante: SolarGrid Analytics S.A.S.</w:t>
      </w:r>
    </w:p>
    <w:p>
      <w:r>
        <w:rPr>
          <w:b w:val="0"/>
          <w:i w:val="0"/>
        </w:rPr>
        <w:t>Sector: Energía renovable</w:t>
      </w:r>
    </w:p>
    <w:p>
      <w:r>
        <w:rPr>
          <w:b w:val="0"/>
          <w:i w:val="0"/>
        </w:rPr>
        <w:t>Equipo consultor:</w:t>
      </w:r>
    </w:p>
    <w:p>
      <w:r>
        <w:rPr>
          <w:b w:val="0"/>
          <w:i w:val="0"/>
        </w:rPr>
        <w:t>1. Juan Pérez</w:t>
      </w:r>
    </w:p>
    <w:p>
      <w:r>
        <w:rPr>
          <w:b w:val="0"/>
          <w:i w:val="0"/>
        </w:rPr>
        <w:t>2. María López</w:t>
      </w:r>
    </w:p>
    <w:p>
      <w:r>
        <w:rPr>
          <w:b w:val="0"/>
          <w:i w:val="0"/>
        </w:rPr>
        <w:t>3. Carlos García</w:t>
      </w:r>
    </w:p>
    <w:p>
      <w:r>
        <w:rPr>
          <w:b w:val="0"/>
          <w:i w:val="0"/>
        </w:rPr>
        <w:t>Fecha del informe: 19 de abril de 2026</w:t>
      </w:r>
    </w:p>
    <w:p>
      <w:r>
        <w:rPr>
          <w:b w:val="0"/>
          <w:i w:val="0"/>
        </w:rPr>
      </w:r>
    </w:p>
    <w:p>
      <w:pPr>
        <w:pStyle w:val="Heading2"/>
      </w:pPr>
      <w:r>
        <w:t>¿Qué es este documento y para quién es?</w:t>
      </w:r>
    </w:p>
    <w:p>
      <w:r>
        <w:rPr>
          <w:b w:val="0"/>
          <w:i w:val="0"/>
        </w:rPr>
        <w:t>Este informe ejecutivo condensa los principales hallazgos de la Primera Actividad Evaluativa en un documento de máximo 3 páginas dirigido al gerente de la empresa contratante.</w:t>
        <w:br/>
        <w:t>No documenta cómo se hizo el trabajo técnico — comunica qué encontramos, qué significa para el negocio y qué viene a continuación.</w:t>
      </w:r>
    </w:p>
    <w:p>
      <w:r>
        <w:br w:type="page"/>
      </w:r>
    </w:p>
    <w:p>
      <w:pPr>
        <w:pStyle w:val="Heading1"/>
      </w:pPr>
      <w:r>
        <w:t>1. Contexto y Definición del Problema</w:t>
      </w:r>
    </w:p>
    <w:p>
      <w:pPr>
        <w:pStyle w:val="Heading2"/>
      </w:pPr>
      <w:r>
        <w:t>1.1 Descripción de la Empresa Contratante</w:t>
      </w:r>
    </w:p>
    <w:p>
      <w:r>
        <w:rPr>
          <w:b w:val="0"/>
          <w:i w:val="0"/>
        </w:rPr>
        <w:t>SolarGrid Analytics S.A.S. es una empresa del sector energético dedicada a la identificación, evaluación y estructuración de proyectos de generación eléctrica con fuentes no convencionales de energía renovable, especialmente energía solar fotovoltaica. La empresa busca expandir su portafolio mediante el desarrollo de una granja solar de gran escala en Colombia, pero actualmente no cuenta con un modelo integrado que le permita determinar, con sustento técnico y económico, la ubicación más rentable y viable para su instalación.</w:t>
        <w:br/>
        <w:t>El problema se ubica dentro del proceso de planeación y formulación de proyectos energéticos, específicamente en la fase de selección óptima de sitio. Hasta el momento, la empresa ha basado su análisis principalmente en variables aisladas como radiación solar promedio y disponibilidad aparente de terreno, lo que genera un riesgo elevado de tomar decisiones subóptimas. Como indicadores preliminares utiliza irradiación solar, superficie disponible, costo estimado de inversión y proyección de generación anual, pero no integrados en una metodología multicriterio. Cuenta con acceso a fuentes como geovisores de la UPME, información geoespacial del IGAC y herramientas de análisis Python/SIG, aunque no puede considerar áreas protegidas o de uso incompatible y debe priorizar ubicaciones donde la conexión al sistema eléctrico y la productividad esperada justifiquen la inversión.</w:t>
      </w:r>
    </w:p>
    <w:p>
      <w:pPr>
        <w:pStyle w:val="Heading2"/>
      </w:pPr>
      <w:r>
        <w:t>1.2 Estado del Arte (mínimo 6 referencias APA 7)</w:t>
      </w:r>
    </w:p>
    <w:p>
      <w:r>
        <w:rPr>
          <w:b w:val="0"/>
          <w:i w:val="0"/>
        </w:rPr>
        <w:t>La literatura reciente sobre selección de emplazamientos para granjas solares muestra una evolución clara: los estudios han pasado de enfoques centrados únicamente en radiación solar a metodologías de evaluación multicriterio apoyadas en Sistemas de Información Geográfica (SIG). Actualmente el consenso indica que la ubicación óptima de una planta fotovoltaica no depende de una sola variable, sino de la integración de criterios técnicos, económicos, ambientales, territoriales y de infraestructura eléctrica.</w:t>
        <w:br/>
        <w:br/>
        <w:t>De Luis-Ruiz et al. (2024) proponen una metodología para localizar plantas solares utilizando GIS y análisis multicriterio, automatizando parte de la evaluación territorial y demostrando que variables como topografía, accesibilidad, restricciones del suelo y recurso solar deben analizarse de manera integrada. Este enfoque sirve de base conceptual para nuestro modelo.</w:t>
        <w:br/>
        <w:t>Nassar et al. (2025) desarrollan un enfoque GIS multicriterio para selección de sitios solares y eólicos, integrando factores ambientales, económicos y técnicos, y confirman la robustez de los modelos espaciales multicriterio para reducir incertidumbre.</w:t>
        <w:br/>
        <w:t>Ángel-Sanint et al. (2023) proponen una metodología específica para Colombia mediante SIG, incorporando restricciones físicas, bióticas, económicas, culturales y políticas. Demuestran que los mapas de potencial puro sobrestiman la viabilidad si no consideran barreras reales, justificando la inclusión de variables más allá del recurso solar.</w:t>
        <w:br/>
        <w:t>Robles-Algarín et al. (2024), enfocados en el Caribe colombiano, comparan métodos de ponderación dentro de un marco TOPSIS y evalúan criterios ambientales, demográficos, financieros y meteorológicos, aportando un antecedente aplicado y la importancia de un modelo transparente para asignar pesos.</w:t>
        <w:br/>
        <w:t>La IEA (2026) advierte que la capacidad de evacuación y la disponibilidad de conexión son un cuello de botella recurrente para nuevos proyectos renovables a nivel global. Por tanto, la cercanía a subestaciones y líneas de transmisión debe ser una variable central de viabilidad.</w:t>
        <w:br/>
        <w:t>A nivel de soporte institucional colombiano, la UPME ofrece geovisores energéticos y la aplicación GeoLCOE para estimar costos nivelados de generación de forma geoespacial, permitiendo aterrizar el enfoque teórico a variables concretas.</w:t>
        <w:br/>
        <w:t>Además, el Global Solar Atlas (World Bank Group, ESMAP &amp; Solargis, 2020) proporciona la variable PVOUT (Photovoltaic Power Output), que expresa la producción anual de energía en kWh/kWp e incorpora factores reales de desempeño del sistema, superando análisis basados únicamente en radiación. La integración de esta fuente fortalece el análisis territorial al incorporar una base cuantitativa validada internacionalmente.</w:t>
        <w:br/>
        <w:br/>
        <w:t>Síntesis: Las soluciones revisadas orientan el diseño del dashboard hacia un modelo multicriterio con visualizaciones geoespaciales (mapas coropléticos), de comparación (barras apiladas) y de sensibilidad. Las referencias justifican la selección de los pesos y las restricciones adoptadas.</w:t>
      </w:r>
    </w:p>
    <w:p>
      <w:pPr>
        <w:pStyle w:val="Heading2"/>
      </w:pPr>
      <w:r>
        <w:t>1.3 Contexto del Problema</w:t>
      </w:r>
    </w:p>
    <w:p>
      <w:r>
        <w:rPr>
          <w:b w:val="0"/>
          <w:i w:val="0"/>
        </w:rPr>
        <w:t>Colombia ha incrementado el interés en proyectos de generación eléctrica a partir de fuentes renovables, especialmente solar fotovoltaica, para diversificar la matriz energética y atender el aumento sostenido de la demanda (aproximadamente 82,084 GWh en 2024 según XM). Sin embargo, las empresas enfrentan el desafío de seleccionar correctamente la ubicación, ya que la viabilidad de una granja solar no depende únicamente de la radiación disponible. La rentabilidad está condicionada por múltiples factores: cercanía a infraestructura eléctrica, capacidad de conexión, características del terreno, restricciones ambientales y demanda energética regional. La dispersión de estos datos en diferentes fuentes y formatos dificulta la toma de decisiones. El presente proyecto busca transformar datos complejos en información útil para la toma de decisiones estratégicas, facilitando la identificación de zonas con mayor viabilidad para el desarrollo de proyectos solares.</w:t>
      </w:r>
    </w:p>
    <w:p>
      <w:pPr>
        <w:pStyle w:val="Heading2"/>
      </w:pPr>
      <w:r>
        <w:t>1.4 Descripción del Problema</w:t>
      </w:r>
    </w:p>
    <w:p>
      <w:r>
        <w:rPr>
          <w:b w:val="0"/>
          <w:i w:val="0"/>
        </w:rPr>
        <w:t>SolarGrid Analytics S.A.S. enfrenta dificultades para identificar, de manera precisa y fundamentada, las zonas más viables para la instalación de una granja solar en Colombia. Su proceso actual se basa en variables aisladas como radiación solar y disponibilidad de terreno, sin integrar factores críticos como pendiente, proximidad a infraestructura eléctrica, demanda energética regional y restricciones ambientales. Esta limitación impide priorizar correctamente las ubicaciones y aumenta el riesgo de seleccionar sitios con baja rentabilidad o dificultades técnicas. Considerando el crecimiento de la demanda y los altos costos de inversión, resulta fundamental mejorar el proceso de decisión mediante el uso de datos geoespaciales, energéticos y económicos, junto con herramientas de visualización que permitan consolidar múltiples variables en un modelo analítico y facilitar la comparación de territorios.</w:t>
      </w:r>
    </w:p>
    <w:p>
      <w:pPr>
        <w:pStyle w:val="Heading2"/>
      </w:pPr>
      <w:r>
        <w:t>1.5 Objetivo del Proyecto (SMART)</w:t>
      </w:r>
    </w:p>
    <w:p>
      <w:r>
        <w:rPr>
          <w:b w:val="0"/>
          <w:i w:val="0"/>
        </w:rPr>
        <w:t>Desarrollar un modelo analítico basado en la integración de datos geoespaciales, energéticos y económicos, que permita identificar y priorizar las zonas con mayor viabilidad para la instalación de una granja solar en Colombia, mediante la construcción de un dashboard interactivo que integre variables como radiación solar, pendiente del terreno, proximidad a infraestructura eléctrica, demanda energética y restricciones territoriales, logrando generar un ranking de ubicaciones en un período de cuatro semanas, con base en datos oficiales provenientes de UPME, XM, IGAC y Superservicios.</w:t>
      </w:r>
    </w:p>
    <w:p>
      <w:r>
        <w:br w:type="page"/>
      </w:r>
    </w:p>
    <w:p>
      <w:pPr>
        <w:pStyle w:val="Heading1"/>
      </w:pPr>
      <w:r>
        <w:t>2. Fuentes de Datos y Preguntas de Negocio</w:t>
      </w:r>
    </w:p>
    <w:p>
      <w:pPr>
        <w:pStyle w:val="Heading2"/>
      </w:pPr>
      <w:r>
        <w:t>2.1 Selección y Documentación de Fuentes de Datos (mínimo 4)</w:t>
      </w:r>
    </w:p>
    <w:p>
      <w:r>
        <w:rPr>
          <w:b w:val="0"/>
          <w:i w:val="0"/>
        </w:rPr>
        <w:t>Se documentan las cuatro fuentes principales. Adicionalmente se procesaron fuentes complementarias cuyos metadatos están disponibles en las carpetas de observaciones del proyecto (data/clean/...).</w:t>
      </w:r>
    </w:p>
    <w:p>
      <w:pPr>
        <w:pStyle w:val="Heading3"/>
      </w:pPr>
      <w:r>
        <w:t>Fuente 1: Demanda de energía eléctrica – XM</w:t>
      </w:r>
    </w:p>
    <w:tbl>
      <w:tblPr>
        <w:tblStyle w:val="TableGrid"/>
        <w:tblW w:type="auto" w:w="0"/>
        <w:tblLook w:firstColumn="1" w:firstRow="1" w:lastColumn="0" w:lastRow="0" w:noHBand="0" w:noVBand="1" w:val="04A0"/>
      </w:tblPr>
      <w:tblGrid>
        <w:gridCol w:w="4320"/>
        <w:gridCol w:w="4320"/>
      </w:tblGrid>
      <w:tr>
        <w:tc>
          <w:tcPr>
            <w:tcW w:type="dxa" w:w="4320"/>
          </w:tcPr>
          <w:p>
            <w:r>
              <w:rPr>
                <w:b/>
              </w:rPr>
              <w:t>Atributo</w:t>
            </w:r>
          </w:p>
        </w:tc>
        <w:tc>
          <w:tcPr>
            <w:tcW w:type="dxa" w:w="4320"/>
          </w:tcPr>
          <w:p>
            <w:r>
              <w:rPr>
                <w:b/>
              </w:rPr>
              <w:t>Descripción</w:t>
            </w:r>
          </w:p>
        </w:tc>
      </w:tr>
      <w:tr>
        <w:tc>
          <w:tcPr>
            <w:tcW w:type="dxa" w:w="4320"/>
          </w:tcPr>
          <w:p>
            <w:r>
              <w:t>Nombre y origen</w:t>
            </w:r>
          </w:p>
        </w:tc>
        <w:tc>
          <w:tcPr>
            <w:tcW w:type="dxa" w:w="4320"/>
          </w:tcPr>
          <w:p>
            <w:r>
              <w:t>Demanda de energía eléctrica – XM</w:t>
            </w:r>
          </w:p>
        </w:tc>
      </w:tr>
      <w:tr>
        <w:tc>
          <w:tcPr>
            <w:tcW w:type="dxa" w:w="4320"/>
          </w:tcPr>
          <w:p>
            <w:r>
              <w:t>URL de acceso</w:t>
            </w:r>
          </w:p>
        </w:tc>
        <w:tc>
          <w:tcPr>
            <w:tcW w:type="dxa" w:w="4320"/>
          </w:tcPr>
          <w:p>
            <w:r>
              <w:t>https://www.xm.com.co/consumo/historicos-de-demanda</w:t>
            </w:r>
          </w:p>
        </w:tc>
      </w:tr>
      <w:tr>
        <w:tc>
          <w:tcPr>
            <w:tcW w:type="dxa" w:w="4320"/>
          </w:tcPr>
          <w:p>
            <w:r>
              <w:t>Período de cobertura</w:t>
            </w:r>
          </w:p>
        </w:tc>
        <w:tc>
          <w:tcPr>
            <w:tcW w:type="dxa" w:w="4320"/>
          </w:tcPr>
          <w:p>
            <w:r>
              <w:t>Aproximadamente 2000 – actual</w:t>
            </w:r>
          </w:p>
        </w:tc>
      </w:tr>
      <w:tr>
        <w:tc>
          <w:tcPr>
            <w:tcW w:type="dxa" w:w="4320"/>
          </w:tcPr>
          <w:p>
            <w:r>
              <w:t>Frecuencia de actualización</w:t>
            </w:r>
          </w:p>
        </w:tc>
        <w:tc>
          <w:tcPr>
            <w:tcW w:type="dxa" w:w="4320"/>
          </w:tcPr>
          <w:p>
            <w:r>
              <w:t>Horaria / diaria</w:t>
            </w:r>
          </w:p>
        </w:tc>
      </w:tr>
      <w:tr>
        <w:tc>
          <w:tcPr>
            <w:tcW w:type="dxa" w:w="4320"/>
          </w:tcPr>
          <w:p>
            <w:r>
              <w:t>Unidad de análisis</w:t>
            </w:r>
          </w:p>
        </w:tc>
        <w:tc>
          <w:tcPr>
            <w:tcW w:type="dxa" w:w="4320"/>
          </w:tcPr>
          <w:p>
            <w:r>
              <w:t>Registro de demanda eléctrica por intervalo de tiempo</w:t>
            </w:r>
          </w:p>
        </w:tc>
      </w:tr>
      <w:tr>
        <w:tc>
          <w:tcPr>
            <w:tcW w:type="dxa" w:w="4320"/>
          </w:tcPr>
          <w:p>
            <w:r>
              <w:t>Cobertura espacial</w:t>
            </w:r>
          </w:p>
        </w:tc>
        <w:tc>
          <w:tcPr>
            <w:tcW w:type="dxa" w:w="4320"/>
          </w:tcPr>
          <w:p>
            <w:r>
              <w:t>Nacional y por regiones eléctricas</w:t>
            </w:r>
          </w:p>
        </w:tc>
      </w:tr>
      <w:tr>
        <w:tc>
          <w:tcPr>
            <w:tcW w:type="dxa" w:w="4320"/>
          </w:tcPr>
          <w:p>
            <w:r>
              <w:t>Licencia de uso</w:t>
            </w:r>
          </w:p>
        </w:tc>
        <w:tc>
          <w:tcPr>
            <w:tcW w:type="dxa" w:w="4320"/>
          </w:tcPr>
          <w:p>
            <w:r>
              <w:t>Datos públicos del sistema eléctrico (uso informativo y académico)</w:t>
            </w:r>
          </w:p>
        </w:tc>
      </w:tr>
      <w:tr>
        <w:tc>
          <w:tcPr>
            <w:tcW w:type="dxa" w:w="4320"/>
          </w:tcPr>
          <w:p>
            <w:r>
              <w:t>Consideraciones éticas</w:t>
            </w:r>
          </w:p>
        </w:tc>
        <w:tc>
          <w:tcPr>
            <w:tcW w:type="dxa" w:w="4320"/>
          </w:tcPr>
          <w:p>
            <w:r>
              <w:t>No contiene datos personales; bajo riesgo de sesgo</w:t>
            </w:r>
          </w:p>
        </w:tc>
      </w:tr>
      <w:tr>
        <w:tc>
          <w:tcPr>
            <w:tcW w:type="dxa" w:w="4320"/>
          </w:tcPr>
          <w:p>
            <w:r>
              <w:t>Variables clave</w:t>
            </w:r>
          </w:p>
        </w:tc>
        <w:tc>
          <w:tcPr>
            <w:tcW w:type="dxa" w:w="4320"/>
          </w:tcPr>
          <w:p>
            <w:r>
              <w:t>Fecha, hora, demanda (MW), región</w:t>
            </w:r>
          </w:p>
        </w:tc>
      </w:tr>
      <w:tr>
        <w:tc>
          <w:tcPr>
            <w:tcW w:type="dxa" w:w="4320"/>
          </w:tcPr>
          <w:p>
            <w:r>
              <w:t>Cardinalidad</w:t>
            </w:r>
          </w:p>
        </w:tc>
        <w:tc>
          <w:tcPr>
            <w:tcW w:type="dxa" w:w="4320"/>
          </w:tcPr>
          <w:p>
            <w:r>
              <w:t>Alta (datos horarios continuos)</w:t>
            </w:r>
          </w:p>
        </w:tc>
      </w:tr>
      <w:tr>
        <w:tc>
          <w:tcPr>
            <w:tcW w:type="dxa" w:w="4320"/>
          </w:tcPr>
          <w:p>
            <w:r>
              <w:t>Llaves candidatas</w:t>
            </w:r>
          </w:p>
        </w:tc>
        <w:tc>
          <w:tcPr>
            <w:tcW w:type="dxa" w:w="4320"/>
          </w:tcPr>
          <w:p>
            <w:r>
              <w:t>Fecha + hora + región</w:t>
            </w:r>
          </w:p>
        </w:tc>
      </w:tr>
      <w:tr>
        <w:tc>
          <w:tcPr>
            <w:tcW w:type="dxa" w:w="4320"/>
          </w:tcPr>
          <w:p>
            <w:r>
              <w:t>Calidad inicial estimada</w:t>
            </w:r>
          </w:p>
        </w:tc>
        <w:tc>
          <w:tcPr>
            <w:tcW w:type="dxa" w:w="4320"/>
          </w:tcPr>
          <w:p>
            <w:r>
              <w:t>Alta calidad; formato estructurado, pocos nulos</w:t>
            </w:r>
          </w:p>
        </w:tc>
      </w:tr>
      <w:tr>
        <w:tc>
          <w:tcPr>
            <w:tcW w:type="dxa" w:w="4320"/>
          </w:tcPr>
          <w:p>
            <w:r>
              <w:t>Observaciones</w:t>
            </w:r>
          </w:p>
        </w:tc>
        <w:tc>
          <w:tcPr>
            <w:tcW w:type="dxa" w:w="4320"/>
          </w:tcPr>
          <w:p>
            <w:r>
              <w:t>No siempre desagregado por municipio</w:t>
            </w:r>
          </w:p>
        </w:tc>
      </w:tr>
    </w:tbl>
    <w:p>
      <w:r>
        <w:rPr>
          <w:b w:val="0"/>
          <w:i w:val="0"/>
        </w:rPr>
      </w:r>
    </w:p>
    <w:p>
      <w:r>
        <w:rPr>
          <w:b w:val="0"/>
          <w:i w:val="0"/>
        </w:rPr>
        <w:t>Justificación: Permite entender el comportamiento real de la demanda energética y priorizar regiones con mayor necesidad de generación.</w:t>
      </w:r>
    </w:p>
    <w:p>
      <w:pPr>
        <w:pStyle w:val="Heading3"/>
      </w:pPr>
      <w:r>
        <w:t>Fuente 2: Infraestructura eléctrica – UPME</w:t>
      </w:r>
    </w:p>
    <w:tbl>
      <w:tblPr>
        <w:tblStyle w:val="TableGrid"/>
        <w:tblW w:type="auto" w:w="0"/>
        <w:tblLook w:firstColumn="1" w:firstRow="1" w:lastColumn="0" w:lastRow="0" w:noHBand="0" w:noVBand="1" w:val="04A0"/>
      </w:tblPr>
      <w:tblGrid>
        <w:gridCol w:w="4320"/>
        <w:gridCol w:w="4320"/>
      </w:tblGrid>
      <w:tr>
        <w:tc>
          <w:tcPr>
            <w:tcW w:type="dxa" w:w="4320"/>
          </w:tcPr>
          <w:p>
            <w:r>
              <w:rPr>
                <w:b/>
              </w:rPr>
              <w:t>Atributo</w:t>
            </w:r>
          </w:p>
        </w:tc>
        <w:tc>
          <w:tcPr>
            <w:tcW w:type="dxa" w:w="4320"/>
          </w:tcPr>
          <w:p>
            <w:r>
              <w:rPr>
                <w:b/>
              </w:rPr>
              <w:t>Descripción</w:t>
            </w:r>
          </w:p>
        </w:tc>
      </w:tr>
      <w:tr>
        <w:tc>
          <w:tcPr>
            <w:tcW w:type="dxa" w:w="4320"/>
          </w:tcPr>
          <w:p>
            <w:r>
              <w:t>Nombre y origen</w:t>
            </w:r>
          </w:p>
        </w:tc>
        <w:tc>
          <w:tcPr>
            <w:tcW w:type="dxa" w:w="4320"/>
          </w:tcPr>
          <w:p>
            <w:r>
              <w:t>Infraestructura eléctrica (subestaciones y líneas) – UPME</w:t>
            </w:r>
          </w:p>
        </w:tc>
      </w:tr>
      <w:tr>
        <w:tc>
          <w:tcPr>
            <w:tcW w:type="dxa" w:w="4320"/>
          </w:tcPr>
          <w:p>
            <w:r>
              <w:t>URL de acceso</w:t>
            </w:r>
          </w:p>
        </w:tc>
        <w:tc>
          <w:tcPr>
            <w:tcW w:type="dxa" w:w="4320"/>
          </w:tcPr>
          <w:p>
            <w:r>
              <w:t>https://geo.upme.gov.co/server/rest/services/...</w:t>
            </w:r>
          </w:p>
        </w:tc>
      </w:tr>
      <w:tr>
        <w:tc>
          <w:tcPr>
            <w:tcW w:type="dxa" w:w="4320"/>
          </w:tcPr>
          <w:p>
            <w:r>
              <w:t>Período de cobertura</w:t>
            </w:r>
          </w:p>
        </w:tc>
        <w:tc>
          <w:tcPr>
            <w:tcW w:type="dxa" w:w="4320"/>
          </w:tcPr>
          <w:p>
            <w:r>
              <w:t>Datos actuales (últimos años disponibles)</w:t>
            </w:r>
          </w:p>
        </w:tc>
      </w:tr>
      <w:tr>
        <w:tc>
          <w:tcPr>
            <w:tcW w:type="dxa" w:w="4320"/>
          </w:tcPr>
          <w:p>
            <w:r>
              <w:t>Frecuencia de actualización</w:t>
            </w:r>
          </w:p>
        </w:tc>
        <w:tc>
          <w:tcPr>
            <w:tcW w:type="dxa" w:w="4320"/>
          </w:tcPr>
          <w:p>
            <w:r>
              <w:t>Periódica (no en tiempo real)</w:t>
            </w:r>
          </w:p>
        </w:tc>
      </w:tr>
      <w:tr>
        <w:tc>
          <w:tcPr>
            <w:tcW w:type="dxa" w:w="4320"/>
          </w:tcPr>
          <w:p>
            <w:r>
              <w:t>Unidad de análisis</w:t>
            </w:r>
          </w:p>
        </w:tc>
        <w:tc>
          <w:tcPr>
            <w:tcW w:type="dxa" w:w="4320"/>
          </w:tcPr>
          <w:p>
            <w:r>
              <w:t>Elementos geográficos (puntos/líneas)</w:t>
            </w:r>
          </w:p>
        </w:tc>
      </w:tr>
      <w:tr>
        <w:tc>
          <w:tcPr>
            <w:tcW w:type="dxa" w:w="4320"/>
          </w:tcPr>
          <w:p>
            <w:r>
              <w:t>Cobertura espacial</w:t>
            </w:r>
          </w:p>
        </w:tc>
        <w:tc>
          <w:tcPr>
            <w:tcW w:type="dxa" w:w="4320"/>
          </w:tcPr>
          <w:p>
            <w:r>
              <w:t>Nacional</w:t>
            </w:r>
          </w:p>
        </w:tc>
      </w:tr>
      <w:tr>
        <w:tc>
          <w:tcPr>
            <w:tcW w:type="dxa" w:w="4320"/>
          </w:tcPr>
          <w:p>
            <w:r>
              <w:t>Licencia de uso</w:t>
            </w:r>
          </w:p>
        </w:tc>
        <w:tc>
          <w:tcPr>
            <w:tcW w:type="dxa" w:w="4320"/>
          </w:tcPr>
          <w:p>
            <w:r>
              <w:t>Datos abiertos del gobierno colombiano</w:t>
            </w:r>
          </w:p>
        </w:tc>
      </w:tr>
      <w:tr>
        <w:tc>
          <w:tcPr>
            <w:tcW w:type="dxa" w:w="4320"/>
          </w:tcPr>
          <w:p>
            <w:r>
              <w:t>Consideraciones éticas</w:t>
            </w:r>
          </w:p>
        </w:tc>
        <w:tc>
          <w:tcPr>
            <w:tcW w:type="dxa" w:w="4320"/>
          </w:tcPr>
          <w:p>
            <w:r>
              <w:t>Sin datos sensibles</w:t>
            </w:r>
          </w:p>
        </w:tc>
      </w:tr>
      <w:tr>
        <w:tc>
          <w:tcPr>
            <w:tcW w:type="dxa" w:w="4320"/>
          </w:tcPr>
          <w:p>
            <w:r>
              <w:t>Variables clave</w:t>
            </w:r>
          </w:p>
        </w:tc>
        <w:tc>
          <w:tcPr>
            <w:tcW w:type="dxa" w:w="4320"/>
          </w:tcPr>
          <w:p>
            <w:r>
              <w:t>Tipo infraestructura, ubicación, capacidad</w:t>
            </w:r>
          </w:p>
        </w:tc>
      </w:tr>
      <w:tr>
        <w:tc>
          <w:tcPr>
            <w:tcW w:type="dxa" w:w="4320"/>
          </w:tcPr>
          <w:p>
            <w:r>
              <w:t>Cardinalidad</w:t>
            </w:r>
          </w:p>
        </w:tc>
        <w:tc>
          <w:tcPr>
            <w:tcW w:type="dxa" w:w="4320"/>
          </w:tcPr>
          <w:p>
            <w:r>
              <w:t>Media</w:t>
            </w:r>
          </w:p>
        </w:tc>
      </w:tr>
      <w:tr>
        <w:tc>
          <w:tcPr>
            <w:tcW w:type="dxa" w:w="4320"/>
          </w:tcPr>
          <w:p>
            <w:r>
              <w:t>Llaves candidatas</w:t>
            </w:r>
          </w:p>
        </w:tc>
        <w:tc>
          <w:tcPr>
            <w:tcW w:type="dxa" w:w="4320"/>
          </w:tcPr>
          <w:p>
            <w:r>
              <w:t>ID infraestructura + coordenadas</w:t>
            </w:r>
          </w:p>
        </w:tc>
      </w:tr>
      <w:tr>
        <w:tc>
          <w:tcPr>
            <w:tcW w:type="dxa" w:w="4320"/>
          </w:tcPr>
          <w:p>
            <w:r>
              <w:t>Calidad inicial estimada</w:t>
            </w:r>
          </w:p>
        </w:tc>
        <w:tc>
          <w:tcPr>
            <w:tcW w:type="dxa" w:w="4320"/>
          </w:tcPr>
          <w:p>
            <w:r>
              <w:t>Alta, formato GIS estructurado</w:t>
            </w:r>
          </w:p>
        </w:tc>
      </w:tr>
      <w:tr>
        <w:tc>
          <w:tcPr>
            <w:tcW w:type="dxa" w:w="4320"/>
          </w:tcPr>
          <w:p>
            <w:r>
              <w:t>Observaciones</w:t>
            </w:r>
          </w:p>
        </w:tc>
        <w:tc>
          <w:tcPr>
            <w:tcW w:type="dxa" w:w="4320"/>
          </w:tcPr>
          <w:p>
            <w:r>
              <w:t>Requiere procesamiento geoespacial</w:t>
            </w:r>
          </w:p>
        </w:tc>
      </w:tr>
    </w:tbl>
    <w:p>
      <w:r>
        <w:rPr>
          <w:b w:val="0"/>
          <w:i w:val="0"/>
        </w:rPr>
      </w:r>
    </w:p>
    <w:p>
      <w:r>
        <w:rPr>
          <w:b w:val="0"/>
          <w:i w:val="0"/>
        </w:rPr>
        <w:t>Justificación: La cercanía a la red eléctrica reduce significativamente los costos de conexión, uno de los factores más determinantes en la viabilidad de una granja solar.</w:t>
      </w:r>
    </w:p>
    <w:p>
      <w:pPr>
        <w:pStyle w:val="Heading3"/>
      </w:pPr>
      <w:r>
        <w:t>Fuente 3: Pendiente del terreno – IGAC</w:t>
      </w:r>
    </w:p>
    <w:tbl>
      <w:tblPr>
        <w:tblStyle w:val="TableGrid"/>
        <w:tblW w:type="auto" w:w="0"/>
        <w:tblLook w:firstColumn="1" w:firstRow="1" w:lastColumn="0" w:lastRow="0" w:noHBand="0" w:noVBand="1" w:val="04A0"/>
      </w:tblPr>
      <w:tblGrid>
        <w:gridCol w:w="4320"/>
        <w:gridCol w:w="4320"/>
      </w:tblGrid>
      <w:tr>
        <w:tc>
          <w:tcPr>
            <w:tcW w:type="dxa" w:w="4320"/>
          </w:tcPr>
          <w:p>
            <w:r>
              <w:rPr>
                <w:b/>
              </w:rPr>
              <w:t>Atributo</w:t>
            </w:r>
          </w:p>
        </w:tc>
        <w:tc>
          <w:tcPr>
            <w:tcW w:type="dxa" w:w="4320"/>
          </w:tcPr>
          <w:p>
            <w:r>
              <w:rPr>
                <w:b/>
              </w:rPr>
              <w:t>Descripción</w:t>
            </w:r>
          </w:p>
        </w:tc>
      </w:tr>
      <w:tr>
        <w:tc>
          <w:tcPr>
            <w:tcW w:type="dxa" w:w="4320"/>
          </w:tcPr>
          <w:p>
            <w:r>
              <w:t>Nombre y origen</w:t>
            </w:r>
          </w:p>
        </w:tc>
        <w:tc>
          <w:tcPr>
            <w:tcW w:type="dxa" w:w="4320"/>
          </w:tcPr>
          <w:p>
            <w:r>
              <w:t>Mapa de pendientes del terreno – IGAC</w:t>
            </w:r>
          </w:p>
        </w:tc>
      </w:tr>
      <w:tr>
        <w:tc>
          <w:tcPr>
            <w:tcW w:type="dxa" w:w="4320"/>
          </w:tcPr>
          <w:p>
            <w:r>
              <w:t>URL de acceso</w:t>
            </w:r>
          </w:p>
        </w:tc>
        <w:tc>
          <w:tcPr>
            <w:tcW w:type="dxa" w:w="4320"/>
          </w:tcPr>
          <w:p>
            <w:r>
              <w:t>https://www.colombiaenmapas.gov.co</w:t>
            </w:r>
          </w:p>
        </w:tc>
      </w:tr>
      <w:tr>
        <w:tc>
          <w:tcPr>
            <w:tcW w:type="dxa" w:w="4320"/>
          </w:tcPr>
          <w:p>
            <w:r>
              <w:t>Período de cobertura</w:t>
            </w:r>
          </w:p>
        </w:tc>
        <w:tc>
          <w:tcPr>
            <w:tcW w:type="dxa" w:w="4320"/>
          </w:tcPr>
          <w:p>
            <w:r>
              <w:t>Datos recientes (según publicación oficial)</w:t>
            </w:r>
          </w:p>
        </w:tc>
      </w:tr>
      <w:tr>
        <w:tc>
          <w:tcPr>
            <w:tcW w:type="dxa" w:w="4320"/>
          </w:tcPr>
          <w:p>
            <w:r>
              <w:t>Frecuencia de actualización</w:t>
            </w:r>
          </w:p>
        </w:tc>
        <w:tc>
          <w:tcPr>
            <w:tcW w:type="dxa" w:w="4320"/>
          </w:tcPr>
          <w:p>
            <w:r>
              <w:t>Baja (datos relativamente estáticos)</w:t>
            </w:r>
          </w:p>
        </w:tc>
      </w:tr>
      <w:tr>
        <w:tc>
          <w:tcPr>
            <w:tcW w:type="dxa" w:w="4320"/>
          </w:tcPr>
          <w:p>
            <w:r>
              <w:t>Unidad de análisis</w:t>
            </w:r>
          </w:p>
        </w:tc>
        <w:tc>
          <w:tcPr>
            <w:tcW w:type="dxa" w:w="4320"/>
          </w:tcPr>
          <w:p>
            <w:r>
              <w:t>Raster geográfico (celdas de terreno)</w:t>
            </w:r>
          </w:p>
        </w:tc>
      </w:tr>
      <w:tr>
        <w:tc>
          <w:tcPr>
            <w:tcW w:type="dxa" w:w="4320"/>
          </w:tcPr>
          <w:p>
            <w:r>
              <w:t>Cobertura espacial</w:t>
            </w:r>
          </w:p>
        </w:tc>
        <w:tc>
          <w:tcPr>
            <w:tcW w:type="dxa" w:w="4320"/>
          </w:tcPr>
          <w:p>
            <w:r>
              <w:t>Nacional</w:t>
            </w:r>
          </w:p>
        </w:tc>
      </w:tr>
      <w:tr>
        <w:tc>
          <w:tcPr>
            <w:tcW w:type="dxa" w:w="4320"/>
          </w:tcPr>
          <w:p>
            <w:r>
              <w:t>Licencia de uso</w:t>
            </w:r>
          </w:p>
        </w:tc>
        <w:tc>
          <w:tcPr>
            <w:tcW w:type="dxa" w:w="4320"/>
          </w:tcPr>
          <w:p>
            <w:r>
              <w:t>Datos abiertos con atribución</w:t>
            </w:r>
          </w:p>
        </w:tc>
      </w:tr>
      <w:tr>
        <w:tc>
          <w:tcPr>
            <w:tcW w:type="dxa" w:w="4320"/>
          </w:tcPr>
          <w:p>
            <w:r>
              <w:t>Consideraciones éticas</w:t>
            </w:r>
          </w:p>
        </w:tc>
        <w:tc>
          <w:tcPr>
            <w:tcW w:type="dxa" w:w="4320"/>
          </w:tcPr>
          <w:p>
            <w:r>
              <w:t>Sin riesgos éticos</w:t>
            </w:r>
          </w:p>
        </w:tc>
      </w:tr>
      <w:tr>
        <w:tc>
          <w:tcPr>
            <w:tcW w:type="dxa" w:w="4320"/>
          </w:tcPr>
          <w:p>
            <w:r>
              <w:t>Variables clave</w:t>
            </w:r>
          </w:p>
        </w:tc>
        <w:tc>
          <w:tcPr>
            <w:tcW w:type="dxa" w:w="4320"/>
          </w:tcPr>
          <w:p>
            <w:r>
              <w:t>Pendiente (%)</w:t>
            </w:r>
          </w:p>
        </w:tc>
      </w:tr>
      <w:tr>
        <w:tc>
          <w:tcPr>
            <w:tcW w:type="dxa" w:w="4320"/>
          </w:tcPr>
          <w:p>
            <w:r>
              <w:t>Cardinalidad</w:t>
            </w:r>
          </w:p>
        </w:tc>
        <w:tc>
          <w:tcPr>
            <w:tcW w:type="dxa" w:w="4320"/>
          </w:tcPr>
          <w:p>
            <w:r>
              <w:t>Muy alta (datos raster)</w:t>
            </w:r>
          </w:p>
        </w:tc>
      </w:tr>
      <w:tr>
        <w:tc>
          <w:tcPr>
            <w:tcW w:type="dxa" w:w="4320"/>
          </w:tcPr>
          <w:p>
            <w:r>
              <w:t>Llaves candidatas</w:t>
            </w:r>
          </w:p>
        </w:tc>
        <w:tc>
          <w:tcPr>
            <w:tcW w:type="dxa" w:w="4320"/>
          </w:tcPr>
          <w:p>
            <w:r>
              <w:t>Coordenadas geográficas</w:t>
            </w:r>
          </w:p>
        </w:tc>
      </w:tr>
      <w:tr>
        <w:tc>
          <w:tcPr>
            <w:tcW w:type="dxa" w:w="4320"/>
          </w:tcPr>
          <w:p>
            <w:r>
              <w:t>Calidad inicial estimada</w:t>
            </w:r>
          </w:p>
        </w:tc>
        <w:tc>
          <w:tcPr>
            <w:tcW w:type="dxa" w:w="4320"/>
          </w:tcPr>
          <w:p>
            <w:r>
              <w:t>Alta resolución, requiere procesamiento</w:t>
            </w:r>
          </w:p>
        </w:tc>
      </w:tr>
      <w:tr>
        <w:tc>
          <w:tcPr>
            <w:tcW w:type="dxa" w:w="4320"/>
          </w:tcPr>
          <w:p>
            <w:r>
              <w:t>Observaciones</w:t>
            </w:r>
          </w:p>
        </w:tc>
        <w:tc>
          <w:tcPr>
            <w:tcW w:type="dxa" w:w="4320"/>
          </w:tcPr>
          <w:p>
            <w:r>
              <w:t>Necesita transformación a formato analítico</w:t>
            </w:r>
          </w:p>
        </w:tc>
      </w:tr>
    </w:tbl>
    <w:p>
      <w:r>
        <w:rPr>
          <w:b w:val="0"/>
          <w:i w:val="0"/>
        </w:rPr>
      </w:r>
    </w:p>
    <w:p>
      <w:r>
        <w:rPr>
          <w:b w:val="0"/>
          <w:i w:val="0"/>
        </w:rPr>
        <w:t>Justificación: La pendiente influye directamente en la instalación, estabilidad y costos de infraestructura de los paneles solares.</w:t>
      </w:r>
    </w:p>
    <w:p>
      <w:pPr>
        <w:pStyle w:val="Heading3"/>
      </w:pPr>
      <w:r>
        <w:t>Fuente 4: PVOUT y potencial solar – Global Solar Atlas (World Bank/ESMAP/Solargis)</w:t>
      </w:r>
    </w:p>
    <w:tbl>
      <w:tblPr>
        <w:tblStyle w:val="TableGrid"/>
        <w:tblW w:type="auto" w:w="0"/>
        <w:tblLook w:firstColumn="1" w:firstRow="1" w:lastColumn="0" w:lastRow="0" w:noHBand="0" w:noVBand="1" w:val="04A0"/>
      </w:tblPr>
      <w:tblGrid>
        <w:gridCol w:w="4320"/>
        <w:gridCol w:w="4320"/>
      </w:tblGrid>
      <w:tr>
        <w:tc>
          <w:tcPr>
            <w:tcW w:type="dxa" w:w="4320"/>
          </w:tcPr>
          <w:p>
            <w:r>
              <w:rPr>
                <w:b/>
              </w:rPr>
              <w:t>Atributo</w:t>
            </w:r>
          </w:p>
        </w:tc>
        <w:tc>
          <w:tcPr>
            <w:tcW w:type="dxa" w:w="4320"/>
          </w:tcPr>
          <w:p>
            <w:r>
              <w:rPr>
                <w:b/>
              </w:rPr>
              <w:t>Descripción</w:t>
            </w:r>
          </w:p>
        </w:tc>
      </w:tr>
      <w:tr>
        <w:tc>
          <w:tcPr>
            <w:tcW w:type="dxa" w:w="4320"/>
          </w:tcPr>
          <w:p>
            <w:r>
              <w:t>Nombre y origen</w:t>
            </w:r>
          </w:p>
        </w:tc>
        <w:tc>
          <w:tcPr>
            <w:tcW w:type="dxa" w:w="4320"/>
          </w:tcPr>
          <w:p>
            <w:r>
              <w:t>Global Solar Atlas – Photovoltaic Power Potential (PVOUT) · World Bank Group, ESMAP, Solargis</w:t>
            </w:r>
          </w:p>
        </w:tc>
      </w:tr>
      <w:tr>
        <w:tc>
          <w:tcPr>
            <w:tcW w:type="dxa" w:w="4320"/>
          </w:tcPr>
          <w:p>
            <w:r>
              <w:t>URL de acceso</w:t>
            </w:r>
          </w:p>
        </w:tc>
        <w:tc>
          <w:tcPr>
            <w:tcW w:type="dxa" w:w="4320"/>
          </w:tcPr>
          <w:p>
            <w:r>
              <w:t>https://globalsolaratlas.info/download</w:t>
            </w:r>
          </w:p>
        </w:tc>
      </w:tr>
      <w:tr>
        <w:tc>
          <w:tcPr>
            <w:tcW w:type="dxa" w:w="4320"/>
          </w:tcPr>
          <w:p>
            <w:r>
              <w:t>Período de cobertura</w:t>
            </w:r>
          </w:p>
        </w:tc>
        <w:tc>
          <w:tcPr>
            <w:tcW w:type="dxa" w:w="4320"/>
          </w:tcPr>
          <w:p>
            <w:r>
              <w:t>Datos promedio de largo plazo (modelo 2020)</w:t>
            </w:r>
          </w:p>
        </w:tc>
      </w:tr>
      <w:tr>
        <w:tc>
          <w:tcPr>
            <w:tcW w:type="dxa" w:w="4320"/>
          </w:tcPr>
          <w:p>
            <w:r>
              <w:t>Frecuencia de actualización</w:t>
            </w:r>
          </w:p>
        </w:tc>
        <w:tc>
          <w:tcPr>
            <w:tcW w:type="dxa" w:w="4320"/>
          </w:tcPr>
          <w:p>
            <w:r>
              <w:t>No periódica (versión 2.0 disponible)</w:t>
            </w:r>
          </w:p>
        </w:tc>
      </w:tr>
      <w:tr>
        <w:tc>
          <w:tcPr>
            <w:tcW w:type="dxa" w:w="4320"/>
          </w:tcPr>
          <w:p>
            <w:r>
              <w:t>Unidad de análisis</w:t>
            </w:r>
          </w:p>
        </w:tc>
        <w:tc>
          <w:tcPr>
            <w:tcW w:type="dxa" w:w="4320"/>
          </w:tcPr>
          <w:p>
            <w:r>
              <w:t>Celda raster (resolución ~1 km) – cada píxel representa un valor de PVOUT</w:t>
            </w:r>
          </w:p>
        </w:tc>
      </w:tr>
      <w:tr>
        <w:tc>
          <w:tcPr>
            <w:tcW w:type="dxa" w:w="4320"/>
          </w:tcPr>
          <w:p>
            <w:r>
              <w:t>Cobertura espacial</w:t>
            </w:r>
          </w:p>
        </w:tc>
        <w:tc>
          <w:tcPr>
            <w:tcW w:type="dxa" w:w="4320"/>
          </w:tcPr>
          <w:p>
            <w:r>
              <w:t>Global; se recortó al bbox de Colombia</w:t>
            </w:r>
          </w:p>
        </w:tc>
      </w:tr>
      <w:tr>
        <w:tc>
          <w:tcPr>
            <w:tcW w:type="dxa" w:w="4320"/>
          </w:tcPr>
          <w:p>
            <w:r>
              <w:t>Licencia de uso</w:t>
            </w:r>
          </w:p>
        </w:tc>
        <w:tc>
          <w:tcPr>
            <w:tcW w:type="dxa" w:w="4320"/>
          </w:tcPr>
          <w:p>
            <w:r>
              <w:t>Creative Commons Attribution (CC BY)</w:t>
            </w:r>
          </w:p>
        </w:tc>
      </w:tr>
      <w:tr>
        <w:tc>
          <w:tcPr>
            <w:tcW w:type="dxa" w:w="4320"/>
          </w:tcPr>
          <w:p>
            <w:r>
              <w:t>Consideraciones éticas</w:t>
            </w:r>
          </w:p>
        </w:tc>
        <w:tc>
          <w:tcPr>
            <w:tcW w:type="dxa" w:w="4320"/>
          </w:tcPr>
          <w:p>
            <w:r>
              <w:t>Datos físicos agregados, sin información personal. El modelo satelital puede subestimar zonas con alta nubosidad local.</w:t>
            </w:r>
          </w:p>
        </w:tc>
      </w:tr>
      <w:tr>
        <w:tc>
          <w:tcPr>
            <w:tcW w:type="dxa" w:w="4320"/>
          </w:tcPr>
          <w:p>
            <w:r>
              <w:t>Variables clave</w:t>
            </w:r>
          </w:p>
        </w:tc>
        <w:tc>
          <w:tcPr>
            <w:tcW w:type="dxa" w:w="4320"/>
          </w:tcPr>
          <w:p>
            <w:r>
              <w:t>PVOUT (kWh/kWp/día), GHI (kWh/m²/día)</w:t>
            </w:r>
          </w:p>
        </w:tc>
      </w:tr>
      <w:tr>
        <w:tc>
          <w:tcPr>
            <w:tcW w:type="dxa" w:w="4320"/>
          </w:tcPr>
          <w:p>
            <w:r>
              <w:t>Cardinalidad</w:t>
            </w:r>
          </w:p>
        </w:tc>
        <w:tc>
          <w:tcPr>
            <w:tcW w:type="dxa" w:w="4320"/>
          </w:tcPr>
          <w:p>
            <w:r>
              <w:t>Continua (valores de punto flotante)</w:t>
            </w:r>
          </w:p>
        </w:tc>
      </w:tr>
      <w:tr>
        <w:tc>
          <w:tcPr>
            <w:tcW w:type="dxa" w:w="4320"/>
          </w:tcPr>
          <w:p>
            <w:r>
              <w:t>Llaves candidatas</w:t>
            </w:r>
          </w:p>
        </w:tc>
        <w:tc>
          <w:tcPr>
            <w:tcW w:type="dxa" w:w="4320"/>
          </w:tcPr>
          <w:p>
            <w:r>
              <w:t>Coordenadas geográficas (longitud, latitud)</w:t>
            </w:r>
          </w:p>
        </w:tc>
      </w:tr>
      <w:tr>
        <w:tc>
          <w:tcPr>
            <w:tcW w:type="dxa" w:w="4320"/>
          </w:tcPr>
          <w:p>
            <w:r>
              <w:t>Calidad inicial estimada</w:t>
            </w:r>
          </w:p>
        </w:tc>
        <w:tc>
          <w:tcPr>
            <w:tcW w:type="dxa" w:w="4320"/>
          </w:tcPr>
          <w:p>
            <w:r>
              <w:t>Excelente. &lt;1% de celdas sin dato en Colombia. El producto ha sido validado con estaciones terrestres.</w:t>
            </w:r>
          </w:p>
        </w:tc>
      </w:tr>
      <w:tr>
        <w:tc>
          <w:tcPr>
            <w:tcW w:type="dxa" w:w="4320"/>
          </w:tcPr>
          <w:p>
            <w:r>
              <w:t>Observaciones</w:t>
            </w:r>
          </w:p>
        </w:tc>
        <w:tc>
          <w:tcPr>
            <w:tcW w:type="dxa" w:w="4320"/>
          </w:tcPr>
          <w:p>
            <w:r>
              <w:t>Se extrajo el valor puntual para cada municipio usando las coordenadas internas del polígono municipal; no se calculó el promedio espacial.</w:t>
            </w:r>
          </w:p>
        </w:tc>
      </w:tr>
    </w:tbl>
    <w:p>
      <w:r>
        <w:rPr>
          <w:b w:val="0"/>
          <w:i w:val="0"/>
        </w:rPr>
      </w:r>
    </w:p>
    <w:p>
      <w:r>
        <w:rPr>
          <w:b w:val="0"/>
          <w:i w:val="0"/>
        </w:rPr>
        <w:t>Justificación: El PVOUT incorpora parámetros técnicos y expresa directamente la producción eléctrica esperada, siendo la variable más adecuada para el modelo de viabilidad energética.</w:t>
      </w:r>
    </w:p>
    <w:p>
      <w:pPr>
        <w:pStyle w:val="Heading2"/>
      </w:pPr>
      <w:r>
        <w:t>2.2 Preguntas de Negocio y Tipo de Visualización Sugerida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Pregunta de negocio</w:t>
            </w:r>
          </w:p>
        </w:tc>
        <w:tc>
          <w:tcPr>
            <w:tcW w:type="dxa" w:w="1728"/>
          </w:tcPr>
          <w:p>
            <w:r>
              <w:rPr>
                <w:b/>
              </w:rPr>
              <w:t>Métrica o dato</w:t>
            </w:r>
          </w:p>
        </w:tc>
        <w:tc>
          <w:tcPr>
            <w:tcW w:type="dxa" w:w="1728"/>
          </w:tcPr>
          <w:p>
            <w:r>
              <w:rPr>
                <w:b/>
              </w:rPr>
              <w:t>Decisión esperada</w:t>
            </w:r>
          </w:p>
        </w:tc>
        <w:tc>
          <w:tcPr>
            <w:tcW w:type="dxa" w:w="1728"/>
          </w:tcPr>
          <w:p>
            <w:r>
              <w:rPr>
                <w:b/>
              </w:rPr>
              <w:t>Tipo de visualización sugerida</w:t>
            </w:r>
          </w:p>
        </w:tc>
        <w:tc>
          <w:tcPr>
            <w:tcW w:type="dxa" w:w="1728"/>
          </w:tcPr>
          <w:p>
            <w:r>
              <w:rPr>
                <w:b/>
              </w:rPr>
              <w:t>Categoría</w:t>
            </w:r>
          </w:p>
        </w:tc>
      </w:tr>
      <w:tr>
        <w:tc>
          <w:tcPr>
            <w:tcW w:type="dxa" w:w="1728"/>
          </w:tcPr>
          <w:p>
            <w:r>
              <w:t>¿Qué zonas de Colombia presentan mayor viabilidad para instalar una granja solar? (Focal)</w:t>
            </w:r>
          </w:p>
        </w:tc>
        <w:tc>
          <w:tcPr>
            <w:tcW w:type="dxa" w:w="1728"/>
          </w:tcPr>
          <w:p>
            <w:r>
              <w:t>Score de viabilidad V_i</w:t>
            </w:r>
          </w:p>
        </w:tc>
        <w:tc>
          <w:tcPr>
            <w:tcW w:type="dxa" w:w="1728"/>
          </w:tcPr>
          <w:p>
            <w:r>
              <w:t>Seleccionar ubicaciones prioritarias para inversión</w:t>
            </w:r>
          </w:p>
        </w:tc>
        <w:tc>
          <w:tcPr>
            <w:tcW w:type="dxa" w:w="1728"/>
          </w:tcPr>
          <w:p>
            <w:r>
              <w:t>Mapa coroplético / mapa de calor geoespacial</w:t>
            </w:r>
          </w:p>
        </w:tc>
        <w:tc>
          <w:tcPr>
            <w:tcW w:type="dxa" w:w="1728"/>
          </w:tcPr>
          <w:p>
            <w:r>
              <w:t>Geoespacial</w:t>
            </w:r>
          </w:p>
        </w:tc>
      </w:tr>
      <w:tr>
        <w:tc>
          <w:tcPr>
            <w:tcW w:type="dxa" w:w="1728"/>
          </w:tcPr>
          <w:p>
            <w:r>
              <w:t>¿Qué regiones tienen mayor demanda energética?</w:t>
            </w:r>
          </w:p>
        </w:tc>
        <w:tc>
          <w:tcPr>
            <w:tcW w:type="dxa" w:w="1728"/>
          </w:tcPr>
          <w:p>
            <w:r>
              <w:t>Demanda energética (GWh o MW) por región</w:t>
            </w:r>
          </w:p>
        </w:tc>
        <w:tc>
          <w:tcPr>
            <w:tcW w:type="dxa" w:w="1728"/>
          </w:tcPr>
          <w:p>
            <w:r>
              <w:t>Priorizar zonas con mayor consumo potencial</w:t>
            </w:r>
          </w:p>
        </w:tc>
        <w:tc>
          <w:tcPr>
            <w:tcW w:type="dxa" w:w="1728"/>
          </w:tcPr>
          <w:p>
            <w:r>
              <w:t>Mapa coroplético + barras por región</w:t>
            </w:r>
          </w:p>
        </w:tc>
        <w:tc>
          <w:tcPr>
            <w:tcW w:type="dxa" w:w="1728"/>
          </w:tcPr>
          <w:p>
            <w:r>
              <w:t>Geoespacial / Comparación</w:t>
            </w:r>
          </w:p>
        </w:tc>
      </w:tr>
      <w:tr>
        <w:tc>
          <w:tcPr>
            <w:tcW w:type="dxa" w:w="1728"/>
          </w:tcPr>
          <w:p>
            <w:r>
              <w:t>¿Cómo influye la distancia a infraestructura eléctrica en la viabilidad?</w:t>
            </w:r>
          </w:p>
        </w:tc>
        <w:tc>
          <w:tcPr>
            <w:tcW w:type="dxa" w:w="1728"/>
          </w:tcPr>
          <w:p>
            <w:r>
              <w:t>Distancia a subestaciones (km)</w:t>
            </w:r>
          </w:p>
        </w:tc>
        <w:tc>
          <w:tcPr>
            <w:tcW w:type="dxa" w:w="1728"/>
          </w:tcPr>
          <w:p>
            <w:r>
              <w:t>Reducir costos de conexión seleccionando zonas cercanas a red</w:t>
            </w:r>
          </w:p>
        </w:tc>
        <w:tc>
          <w:tcPr>
            <w:tcW w:type="dxa" w:w="1728"/>
          </w:tcPr>
          <w:p>
            <w:r>
              <w:t>Scatter plot (distancia vs score)</w:t>
            </w:r>
          </w:p>
        </w:tc>
        <w:tc>
          <w:tcPr>
            <w:tcW w:type="dxa" w:w="1728"/>
          </w:tcPr>
          <w:p>
            <w:r>
              <w:t>Relacional</w:t>
            </w:r>
          </w:p>
        </w:tc>
      </w:tr>
      <w:tr>
        <w:tc>
          <w:tcPr>
            <w:tcW w:type="dxa" w:w="1728"/>
          </w:tcPr>
          <w:p>
            <w:r>
              <w:t>¿Qué zonas presentan condiciones óptimas de terreno para instalación?</w:t>
            </w:r>
          </w:p>
        </w:tc>
        <w:tc>
          <w:tcPr>
            <w:tcW w:type="dxa" w:w="1728"/>
          </w:tcPr>
          <w:p>
            <w:r>
              <w:t>Pendiente (%)</w:t>
            </w:r>
          </w:p>
        </w:tc>
        <w:tc>
          <w:tcPr>
            <w:tcW w:type="dxa" w:w="1728"/>
          </w:tcPr>
          <w:p>
            <w:r>
              <w:t>Identificar áreas técnicamente aptas para instalación</w:t>
            </w:r>
          </w:p>
        </w:tc>
        <w:tc>
          <w:tcPr>
            <w:tcW w:type="dxa" w:w="1728"/>
          </w:tcPr>
          <w:p>
            <w:r>
              <w:t>Mapa de calor / mapa categorizado</w:t>
            </w:r>
          </w:p>
        </w:tc>
        <w:tc>
          <w:tcPr>
            <w:tcW w:type="dxa" w:w="1728"/>
          </w:tcPr>
          <w:p>
            <w:r>
              <w:t>Geoespacial</w:t>
            </w:r>
          </w:p>
        </w:tc>
      </w:tr>
      <w:tr>
        <w:tc>
          <w:tcPr>
            <w:tcW w:type="dxa" w:w="1728"/>
          </w:tcPr>
          <w:p>
            <w:r>
              <w:t>¿Cómo cambia la viabilidad al modificar el peso de las variables?</w:t>
            </w:r>
          </w:p>
        </w:tc>
        <w:tc>
          <w:tcPr>
            <w:tcW w:type="dxa" w:w="1728"/>
          </w:tcPr>
          <w:p>
            <w:r>
              <w:t>Score dinámico (ponderaciones)</w:t>
            </w:r>
          </w:p>
        </w:tc>
        <w:tc>
          <w:tcPr>
            <w:tcW w:type="dxa" w:w="1728"/>
          </w:tcPr>
          <w:p>
            <w:r>
              <w:t>Evaluar escenarios de decisión (priorizar demanda vs costo)</w:t>
            </w:r>
          </w:p>
        </w:tc>
        <w:tc>
          <w:tcPr>
            <w:tcW w:type="dxa" w:w="1728"/>
          </w:tcPr>
          <w:p>
            <w:r>
              <w:t>Dashboard interactivo (filtros + barras)</w:t>
            </w:r>
          </w:p>
        </w:tc>
        <w:tc>
          <w:tcPr>
            <w:tcW w:type="dxa" w:w="1728"/>
          </w:tcPr>
          <w:p>
            <w:r>
              <w:t>Multidimensional</w:t>
            </w:r>
          </w:p>
        </w:tc>
      </w:tr>
    </w:tbl>
    <w:p>
      <w:pPr>
        <w:pStyle w:val="Heading2"/>
      </w:pPr>
      <w:r>
        <w:t>Modelo Matemático de Evaluación de Viabilidad</w:t>
      </w:r>
    </w:p>
    <w:p>
      <w:r>
        <w:rPr>
          <w:b w:val="0"/>
          <w:i w:val="0"/>
        </w:rPr>
        <w:t>V_i = R_i · (0.30·S_i + 0.15·D_i + 0.25·G_i + 0.20·P_i + 0.10·U_i)</w:t>
        <w:br/>
        <w:t>Donde:</w:t>
        <w:br/>
        <w:t>- R_i: factor de restricción (0 si no cumple condiciones mínimas)</w:t>
        <w:br/>
        <w:t>- S_i: score solar normalizado (PVOUT)</w:t>
        <w:br/>
        <w:t>- D_i: score de demanda normalizado</w:t>
        <w:br/>
        <w:t>- G_i: score de cercanía a red (distancia inversa)</w:t>
        <w:br/>
        <w:t>- P_i: score de aptitud del terreno (pendiente)</w:t>
        <w:br/>
        <w:t>- U_i: score de uso del suelo (proporción no protegida)</w:t>
        <w:br/>
        <w:t>Los pesos suman 1.0 y están definidos en src/scoring/viabilidad_municipal.py.</w:t>
      </w:r>
    </w:p>
    <w:p>
      <w:r>
        <w:br w:type="page"/>
      </w:r>
    </w:p>
    <w:p>
      <w:pPr>
        <w:pStyle w:val="Heading1"/>
      </w:pPr>
      <w:r>
        <w:t>3. Preparación e Integración de Datos</w:t>
      </w:r>
    </w:p>
    <w:p>
      <w:pPr>
        <w:pStyle w:val="Heading2"/>
      </w:pPr>
      <w:r>
        <w:t>3.1 Tabla de Transformaciones (mínimo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Herramienta</w:t>
            </w:r>
          </w:p>
        </w:tc>
        <w:tc>
          <w:tcPr>
            <w:tcW w:type="dxa" w:w="1440"/>
          </w:tcPr>
          <w:p>
            <w:r>
              <w:rPr>
                <w:b/>
              </w:rPr>
              <w:t>Acción realizada</w:t>
            </w:r>
          </w:p>
        </w:tc>
        <w:tc>
          <w:tcPr>
            <w:tcW w:type="dxa" w:w="1440"/>
          </w:tcPr>
          <w:p>
            <w:r>
              <w:rPr>
                <w:b/>
              </w:rPr>
              <w:t>Columna(s) afectada(s)</w:t>
            </w:r>
          </w:p>
        </w:tc>
        <w:tc>
          <w:tcPr>
            <w:tcW w:type="dxa" w:w="1440"/>
          </w:tcPr>
          <w:p>
            <w:r>
              <w:rPr>
                <w:b/>
              </w:rPr>
              <w:t>Resultado / columna nueva</w:t>
            </w:r>
          </w:p>
        </w:tc>
        <w:tc>
          <w:tcPr>
            <w:tcW w:type="dxa" w:w="1440"/>
          </w:tcPr>
          <w:p>
            <w:r>
              <w:rPr>
                <w:b/>
              </w:rPr>
              <w:t>¿Para qué sirve?</w:t>
            </w:r>
          </w:p>
        </w:tc>
      </w:tr>
      <w:tr>
        <w:tc>
          <w:tcPr>
            <w:tcW w:type="dxa" w:w="1440"/>
          </w:tcPr>
          <w:p>
            <w:r>
              <w:t>1</w:t>
            </w:r>
          </w:p>
        </w:tc>
        <w:tc>
          <w:tcPr>
            <w:tcW w:type="dxa" w:w="1440"/>
          </w:tcPr>
          <w:p>
            <w:r>
              <w:t>Python/pandas</w:t>
            </w:r>
          </w:p>
        </w:tc>
        <w:tc>
          <w:tcPr>
            <w:tcW w:type="dxa" w:w="1440"/>
          </w:tcPr>
          <w:p>
            <w:r>
              <w:t>Normalización de nombres de columnas (tildes, espacios, mayúsculas)</w:t>
            </w:r>
          </w:p>
        </w:tc>
        <w:tc>
          <w:tcPr>
            <w:tcW w:type="dxa" w:w="1440"/>
          </w:tcPr>
          <w:p>
            <w:r>
              <w:t>Todas las columnas originales</w:t>
            </w:r>
          </w:p>
        </w:tc>
        <w:tc>
          <w:tcPr>
            <w:tcW w:type="dxa" w:w="1440"/>
          </w:tcPr>
          <w:p>
            <w:r>
              <w:t>Nombres estandarizados (snake_case)</w:t>
            </w:r>
          </w:p>
        </w:tc>
        <w:tc>
          <w:tcPr>
            <w:tcW w:type="dxa" w:w="1440"/>
          </w:tcPr>
          <w:p>
            <w:r>
              <w:t>Facilita la manipulación y el merge entre fuentes</w:t>
            </w:r>
          </w:p>
        </w:tc>
      </w:tr>
      <w:tr>
        <w:tc>
          <w:tcPr>
            <w:tcW w:type="dxa" w:w="1440"/>
          </w:tcPr>
          <w:p>
            <w:r>
              <w:t>2</w:t>
            </w:r>
          </w:p>
        </w:tc>
        <w:tc>
          <w:tcPr>
            <w:tcW w:type="dxa" w:w="1440"/>
          </w:tcPr>
          <w:p>
            <w:r>
              <w:t>Python/eda_utils</w:t>
            </w:r>
          </w:p>
        </w:tc>
        <w:tc>
          <w:tcPr>
            <w:tcW w:type="dxa" w:w="1440"/>
          </w:tcPr>
          <w:p>
            <w:r>
              <w:t>Limpieza de espacios y marcadores de nulos comunes</w:t>
            </w:r>
          </w:p>
        </w:tc>
        <w:tc>
          <w:tcPr>
            <w:tcW w:type="dxa" w:w="1440"/>
          </w:tcPr>
          <w:p>
            <w:r>
              <w:t>Columnas de texto</w:t>
            </w:r>
          </w:p>
        </w:tc>
        <w:tc>
          <w:tcPr>
            <w:tcW w:type="dxa" w:w="1440"/>
          </w:tcPr>
          <w:p>
            <w:r>
              <w:t>Columnas sin valores “NA”, “N/A”, “-”, etc.</w:t>
            </w:r>
          </w:p>
        </w:tc>
        <w:tc>
          <w:tcPr>
            <w:tcW w:type="dxa" w:w="1440"/>
          </w:tcPr>
          <w:p>
            <w:r>
              <w:t>Evita falsos nulos y mejora la calidad</w:t>
            </w:r>
          </w:p>
        </w:tc>
      </w:tr>
      <w:tr>
        <w:tc>
          <w:tcPr>
            <w:tcW w:type="dxa" w:w="1440"/>
          </w:tcPr>
          <w:p>
            <w:r>
              <w:t>3</w:t>
            </w:r>
          </w:p>
        </w:tc>
        <w:tc>
          <w:tcPr>
            <w:tcW w:type="dxa" w:w="1440"/>
          </w:tcPr>
          <w:p>
            <w:r>
              <w:t>Python/eda_utils</w:t>
            </w:r>
          </w:p>
        </w:tc>
        <w:tc>
          <w:tcPr>
            <w:tcW w:type="dxa" w:w="1440"/>
          </w:tcPr>
          <w:p>
            <w:r>
              <w:t>Conversión de columnas de fecha (object → datetime64)</w:t>
            </w:r>
          </w:p>
        </w:tc>
        <w:tc>
          <w:tcPr>
            <w:tcW w:type="dxa" w:w="1440"/>
          </w:tcPr>
          <w:p>
            <w:r>
              <w:t>Columnas con semántica temporal (fecha, fecha_archivo, etc.)</w:t>
            </w:r>
          </w:p>
        </w:tc>
        <w:tc>
          <w:tcPr>
            <w:tcW w:type="dxa" w:w="1440"/>
          </w:tcPr>
          <w:p>
            <w:r>
              <w:t>Columnas datetime</w:t>
            </w:r>
          </w:p>
        </w:tc>
        <w:tc>
          <w:tcPr>
            <w:tcW w:type="dxa" w:w="1440"/>
          </w:tcPr>
          <w:p>
            <w:r>
              <w:t>Permite filtros temporales y extracción de año/mes</w:t>
            </w:r>
          </w:p>
        </w:tc>
      </w:tr>
      <w:tr>
        <w:tc>
          <w:tcPr>
            <w:tcW w:type="dxa" w:w="1440"/>
          </w:tcPr>
          <w:p>
            <w:r>
              <w:t>4</w:t>
            </w:r>
          </w:p>
        </w:tc>
        <w:tc>
          <w:tcPr>
            <w:tcW w:type="dxa" w:w="1440"/>
          </w:tcPr>
          <w:p>
            <w:r>
              <w:t>Python/eda_utils</w:t>
            </w:r>
          </w:p>
        </w:tc>
        <w:tc>
          <w:tcPr>
            <w:tcW w:type="dxa" w:w="1440"/>
          </w:tcPr>
          <w:p>
            <w:r>
              <w:t>Conversión de columnas numéricas (string → float)</w:t>
            </w:r>
          </w:p>
        </w:tc>
        <w:tc>
          <w:tcPr>
            <w:tcW w:type="dxa" w:w="1440"/>
          </w:tcPr>
          <w:p>
            <w:r>
              <w:t>Columnas con valores numéricos almacenados como texto</w:t>
            </w:r>
          </w:p>
        </w:tc>
        <w:tc>
          <w:tcPr>
            <w:tcW w:type="dxa" w:w="1440"/>
          </w:tcPr>
          <w:p>
            <w:r>
              <w:t>Columnas numéricas (Float64)</w:t>
            </w:r>
          </w:p>
        </w:tc>
        <w:tc>
          <w:tcPr>
            <w:tcW w:type="dxa" w:w="1440"/>
          </w:tcPr>
          <w:p>
            <w:r>
              <w:t>Permite operaciones estadísticas y normalización</w:t>
            </w:r>
          </w:p>
        </w:tc>
      </w:tr>
      <w:tr>
        <w:tc>
          <w:tcPr>
            <w:tcW w:type="dxa" w:w="1440"/>
          </w:tcPr>
          <w:p>
            <w:r>
              <w:t>5</w:t>
            </w:r>
          </w:p>
        </w:tc>
        <w:tc>
          <w:tcPr>
            <w:tcW w:type="dxa" w:w="1440"/>
          </w:tcPr>
          <w:p>
            <w:r>
              <w:t>Python/pvout_raster.py</w:t>
            </w:r>
          </w:p>
        </w:tc>
        <w:tc>
          <w:tcPr>
            <w:tcW w:type="dxa" w:w="1440"/>
          </w:tcPr>
          <w:p>
            <w:r>
              <w:t>Extracción de PVOUT puntual para cada municipio desde raster GeoTIFF</w:t>
            </w:r>
          </w:p>
        </w:tc>
        <w:tc>
          <w:tcPr>
            <w:tcW w:type="dxa" w:w="1440"/>
          </w:tcPr>
          <w:p>
            <w:r>
              <w:t>Coordenadas (lon/lat) de los municipios</w:t>
            </w:r>
          </w:p>
        </w:tc>
        <w:tc>
          <w:tcPr>
            <w:tcW w:type="dxa" w:w="1440"/>
          </w:tcPr>
          <w:p>
            <w:r>
              <w:t>pvout_kwh_kwp_day, annual_yield_kwh_kw_year</w:t>
            </w:r>
          </w:p>
        </w:tc>
        <w:tc>
          <w:tcPr>
            <w:tcW w:type="dxa" w:w="1440"/>
          </w:tcPr>
          <w:p>
            <w:r>
              <w:t>Obtiene el recurso solar local para cada unidad de análisis</w:t>
            </w:r>
          </w:p>
        </w:tc>
      </w:tr>
      <w:tr>
        <w:tc>
          <w:tcPr>
            <w:tcW w:type="dxa" w:w="1440"/>
          </w:tcPr>
          <w:p>
            <w:r>
              <w:t>6</w:t>
            </w:r>
          </w:p>
        </w:tc>
        <w:tc>
          <w:tcPr>
            <w:tcW w:type="dxa" w:w="1440"/>
          </w:tcPr>
          <w:p>
            <w:r>
              <w:t>Python/igac_pendientes.py</w:t>
            </w:r>
          </w:p>
        </w:tc>
        <w:tc>
          <w:tcPr>
            <w:tcW w:type="dxa" w:w="1440"/>
          </w:tcPr>
          <w:p>
            <w:r>
              <w:t>Consulta del servicio de pendientes IGAC y clasificación en viable/condicional/no viable</w:t>
            </w:r>
          </w:p>
        </w:tc>
        <w:tc>
          <w:tcPr>
            <w:tcW w:type="dxa" w:w="1440"/>
          </w:tcPr>
          <w:p>
            <w:r>
              <w:t>pendiente_igac (etiqueta)</w:t>
            </w:r>
          </w:p>
        </w:tc>
        <w:tc>
          <w:tcPr>
            <w:tcW w:type="dxa" w:w="1440"/>
          </w:tcPr>
          <w:p>
            <w:r>
              <w:t>viabilidad_pendiente, score_pendiente</w:t>
            </w:r>
          </w:p>
        </w:tc>
        <w:tc>
          <w:tcPr>
            <w:tcW w:type="dxa" w:w="1440"/>
          </w:tcPr>
          <w:p>
            <w:r>
              <w:t>Convierte una etiqueta categórica en un filtro técnico binario y un score numérico</w:t>
            </w:r>
          </w:p>
        </w:tc>
      </w:tr>
      <w:tr>
        <w:tc>
          <w:tcPr>
            <w:tcW w:type="dxa" w:w="1440"/>
          </w:tcPr>
          <w:p>
            <w:r>
              <w:t>7</w:t>
            </w:r>
          </w:p>
        </w:tc>
        <w:tc>
          <w:tcPr>
            <w:tcW w:type="dxa" w:w="1440"/>
          </w:tcPr>
          <w:p>
            <w:r>
              <w:t>Python/upme_subestaciones.py</w:t>
            </w:r>
          </w:p>
        </w:tc>
        <w:tc>
          <w:tcPr>
            <w:tcW w:type="dxa" w:w="1440"/>
          </w:tcPr>
          <w:p>
            <w:r>
              <w:t>Cálculo de distancia mínima a subestación de nivel 4/5 (en servicio)</w:t>
            </w:r>
          </w:p>
        </w:tc>
        <w:tc>
          <w:tcPr>
            <w:tcW w:type="dxa" w:w="1440"/>
          </w:tcPr>
          <w:p>
            <w:r>
              <w:t>dist_subestacion_km</w:t>
            </w:r>
          </w:p>
        </w:tc>
        <w:tc>
          <w:tcPr>
            <w:tcW w:type="dxa" w:w="1440"/>
          </w:tcPr>
          <w:p>
            <w:r>
              <w:t>g_i_red (score normalizado inverso)</w:t>
            </w:r>
          </w:p>
        </w:tc>
        <w:tc>
          <w:tcPr>
            <w:tcW w:type="dxa" w:w="1440"/>
          </w:tcPr>
          <w:p>
            <w:r>
              <w:t>La cercanía a la red reduce costos de conexión; valores más altos indican mayor viabilidad</w:t>
            </w:r>
          </w:p>
        </w:tc>
      </w:tr>
      <w:tr>
        <w:tc>
          <w:tcPr>
            <w:tcW w:type="dxa" w:w="1440"/>
          </w:tcPr>
          <w:p>
            <w:r>
              <w:t>8</w:t>
            </w:r>
          </w:p>
        </w:tc>
        <w:tc>
          <w:tcPr>
            <w:tcW w:type="dxa" w:w="1440"/>
          </w:tcPr>
          <w:p>
            <w:r>
              <w:t>Python/runap_protected_areas.py</w:t>
            </w:r>
          </w:p>
        </w:tc>
        <w:tc>
          <w:tcPr>
            <w:tcW w:type="dxa" w:w="1440"/>
          </w:tcPr>
          <w:p>
            <w:r>
              <w:t>Intersección espacial de áreas protegidas con municipios</w:t>
            </w:r>
          </w:p>
        </w:tc>
        <w:tc>
          <w:tcPr>
            <w:tcW w:type="dxa" w:w="1440"/>
          </w:tcPr>
          <w:p>
            <w:r>
              <w:t>pct_area_protegida_runap</w:t>
            </w:r>
          </w:p>
        </w:tc>
        <w:tc>
          <w:tcPr>
            <w:tcW w:type="dxa" w:w="1440"/>
          </w:tcPr>
          <w:p>
            <w:r>
              <w:t>u_i_no_protegido_runap, r_i_runap (restricción dura si &gt;80%)</w:t>
            </w:r>
          </w:p>
        </w:tc>
        <w:tc>
          <w:tcPr>
            <w:tcW w:type="dxa" w:w="1440"/>
          </w:tcPr>
          <w:p>
            <w:r>
              <w:t>Incorpora la restricción legal por áreas protegidas; U_i es la proporción no protegida</w:t>
            </w:r>
          </w:p>
        </w:tc>
      </w:tr>
      <w:tr>
        <w:tc>
          <w:tcPr>
            <w:tcW w:type="dxa" w:w="1440"/>
          </w:tcPr>
          <w:p>
            <w:r>
              <w:t>9</w:t>
            </w:r>
          </w:p>
        </w:tc>
        <w:tc>
          <w:tcPr>
            <w:tcW w:type="dxa" w:w="1440"/>
          </w:tcPr>
          <w:p>
            <w:r>
              <w:t>Python/xm_demanda_municipal.py</w:t>
            </w:r>
          </w:p>
        </w:tc>
        <w:tc>
          <w:tcPr>
            <w:tcW w:type="dxa" w:w="1440"/>
          </w:tcPr>
          <w:p>
            <w:r>
              <w:t>Asignación de demanda proxy desde subáreas XM a municipios</w:t>
            </w:r>
          </w:p>
        </w:tc>
        <w:tc>
          <w:tcPr>
            <w:tcW w:type="dxa" w:w="1440"/>
          </w:tcPr>
          <w:p>
            <w:r>
              <w:t>zona_xm_demanda</w:t>
            </w:r>
          </w:p>
        </w:tc>
        <w:tc>
          <w:tcPr>
            <w:tcW w:type="dxa" w:w="1440"/>
          </w:tcPr>
          <w:p>
            <w:r>
              <w:t>demanda_xm_proxy_mwh, d_i_demanda</w:t>
            </w:r>
          </w:p>
        </w:tc>
        <w:tc>
          <w:tcPr>
            <w:tcW w:type="dxa" w:w="1440"/>
          </w:tcPr>
          <w:p>
            <w:r>
              <w:t>Genera una variable de demanda energética para priorizar zonas con mayor consumo</w:t>
            </w:r>
          </w:p>
        </w:tc>
      </w:tr>
      <w:tr>
        <w:tc>
          <w:tcPr>
            <w:tcW w:type="dxa" w:w="1440"/>
          </w:tcPr>
          <w:p>
            <w:r>
              <w:t>10</w:t>
            </w:r>
          </w:p>
        </w:tc>
        <w:tc>
          <w:tcPr>
            <w:tcW w:type="dxa" w:w="1440"/>
          </w:tcPr>
          <w:p>
            <w:r>
              <w:t>Python/viabilidad_municipal.py</w:t>
            </w:r>
          </w:p>
        </w:tc>
        <w:tc>
          <w:tcPr>
            <w:tcW w:type="dxa" w:w="1440"/>
          </w:tcPr>
          <w:p>
            <w:r>
              <w:t>Normalización MinMax de todos los componentes</w:t>
            </w:r>
          </w:p>
        </w:tc>
        <w:tc>
          <w:tcPr>
            <w:tcW w:type="dxa" w:w="1440"/>
          </w:tcPr>
          <w:p>
            <w:r>
              <w:t>s_i_solar, d_i_demanda, g_i_red, p_i_pendiente_proxy, u_i_uso_suelo</w:t>
            </w:r>
          </w:p>
        </w:tc>
        <w:tc>
          <w:tcPr>
            <w:tcW w:type="dxa" w:w="1440"/>
          </w:tcPr>
          <w:p>
            <w:r>
              <w:t>Componentes en escala 0-1</w:t>
            </w:r>
          </w:p>
        </w:tc>
        <w:tc>
          <w:tcPr>
            <w:tcW w:type="dxa" w:w="1440"/>
          </w:tcPr>
          <w:p>
            <w:r>
              <w:t>Permite combinar criterios heterogéneos en un solo índice</w:t>
            </w:r>
          </w:p>
        </w:tc>
      </w:tr>
      <w:tr>
        <w:tc>
          <w:tcPr>
            <w:tcW w:type="dxa" w:w="1440"/>
          </w:tcPr>
          <w:p>
            <w:r>
              <w:t>11</w:t>
            </w:r>
          </w:p>
        </w:tc>
        <w:tc>
          <w:tcPr>
            <w:tcW w:type="dxa" w:w="1440"/>
          </w:tcPr>
          <w:p>
            <w:r>
              <w:t>Python/viabilidad_municipal.py</w:t>
            </w:r>
          </w:p>
        </w:tc>
        <w:tc>
          <w:tcPr>
            <w:tcW w:type="dxa" w:w="1440"/>
          </w:tcPr>
          <w:p>
            <w:r>
              <w:t>Cálculo del índice de viabilidad V_i</w:t>
            </w:r>
          </w:p>
        </w:tc>
        <w:tc>
          <w:tcPr>
            <w:tcW w:type="dxa" w:w="1440"/>
          </w:tcPr>
          <w:p>
            <w:r>
              <w:t>Componentes normalizados + restricción</w:t>
            </w:r>
          </w:p>
        </w:tc>
        <w:tc>
          <w:tcPr>
            <w:tcW w:type="dxa" w:w="1440"/>
          </w:tcPr>
          <w:p>
            <w:r>
              <w:t>v_i_modelo_proxy_xm</w:t>
            </w:r>
          </w:p>
        </w:tc>
        <w:tc>
          <w:tcPr>
            <w:tcW w:type="dxa" w:w="1440"/>
          </w:tcPr>
          <w:p>
            <w:r>
              <w:t>Ranking final de municipios según potencial solar</w:t>
            </w:r>
          </w:p>
        </w:tc>
      </w:tr>
      <w:tr>
        <w:tc>
          <w:tcPr>
            <w:tcW w:type="dxa" w:w="1440"/>
          </w:tcPr>
          <w:p>
            <w:r>
              <w:t>12</w:t>
            </w:r>
          </w:p>
        </w:tc>
        <w:tc>
          <w:tcPr>
            <w:tcW w:type="dxa" w:w="1440"/>
          </w:tcPr>
          <w:p>
            <w:r>
              <w:t>Python/kmeans_municipios.py</w:t>
            </w:r>
          </w:p>
        </w:tc>
        <w:tc>
          <w:tcPr>
            <w:tcW w:type="dxa" w:w="1440"/>
          </w:tcPr>
          <w:p>
            <w:r>
              <w:t>Agrupamiento K-Means con componentes normalizados</w:t>
            </w:r>
          </w:p>
        </w:tc>
        <w:tc>
          <w:tcPr>
            <w:tcW w:type="dxa" w:w="1440"/>
          </w:tcPr>
          <w:p>
            <w:r>
              <w:t>Componentes S, D, G, P, U</w:t>
            </w:r>
          </w:p>
        </w:tc>
        <w:tc>
          <w:tcPr>
            <w:tcW w:type="dxa" w:w="1440"/>
          </w:tcPr>
          <w:p>
            <w:r>
              <w:t>cluster_kmeans, cluster_kmeans_label</w:t>
            </w:r>
          </w:p>
        </w:tc>
        <w:tc>
          <w:tcPr>
            <w:tcW w:type="dxa" w:w="1440"/>
          </w:tcPr>
          <w:p>
            <w:r>
              <w:t>Identifica perfiles de municipios similares para análisis complementario</w:t>
            </w:r>
          </w:p>
        </w:tc>
      </w:tr>
      <w:tr>
        <w:tc>
          <w:tcPr>
            <w:tcW w:type="dxa" w:w="1440"/>
          </w:tcPr>
          <w:p>
            <w:r>
              <w:t>13</w:t>
            </w:r>
          </w:p>
        </w:tc>
        <w:tc>
          <w:tcPr>
            <w:tcW w:type="dxa" w:w="1440"/>
          </w:tcPr>
          <w:p>
            <w:r>
              <w:t>Python/solar_economics.py</w:t>
            </w:r>
          </w:p>
        </w:tc>
        <w:tc>
          <w:tcPr>
            <w:tcW w:type="dxa" w:w="1440"/>
          </w:tcPr>
          <w:p>
            <w:r>
              <w:t>Estimación de costos y producción por hectárea</w:t>
            </w:r>
          </w:p>
        </w:tc>
        <w:tc>
          <w:tcPr>
            <w:tcW w:type="dxa" w:w="1440"/>
          </w:tcPr>
          <w:p>
            <w:r>
              <w:t>land_use_hectares_per_mw, capex_usd_per_kw, annual_yield_kwh_per_kw_year</w:t>
            </w:r>
          </w:p>
        </w:tc>
        <w:tc>
          <w:tcPr>
            <w:tcW w:type="dxa" w:w="1440"/>
          </w:tcPr>
          <w:p>
            <w:r>
              <w:t>capacidad_kw_por_hectarea, generacion_mwh_por_hectarea_anual</w:t>
            </w:r>
          </w:p>
        </w:tc>
        <w:tc>
          <w:tcPr>
            <w:tcW w:type="dxa" w:w="1440"/>
          </w:tcPr>
          <w:p>
            <w:r>
              <w:t>Proporciona una referencia económica rápida para el tomador de decisión</w:t>
            </w:r>
          </w:p>
        </w:tc>
      </w:tr>
    </w:tbl>
    <w:p>
      <w:pPr>
        <w:pStyle w:val="Heading2"/>
      </w:pPr>
      <w:r>
        <w:t>3.2 EDA por Fuente Individual – Antes de Integrar</w:t>
      </w:r>
    </w:p>
    <w:p>
      <w:r>
        <w:rPr>
          <w:b w:val="0"/>
          <w:i w:val="0"/>
        </w:rPr>
        <w:t>A continuación se resume el análisis exploratorio individual de cada fuente. Los reportes detallados (estadísticas, nulos, cardinalidad) se encuentran en las carpetas data/clean/&lt;fuente&gt;.</w:t>
        <w:br/>
      </w:r>
    </w:p>
    <w:p>
      <w:r>
        <w:rPr>
          <w:b w:val="0"/>
          <w:i w:val="0"/>
        </w:rPr>
        <w:t>Fuente 1: PVOUT (Global Solar Atlas – puntos municipales)</w:t>
        <w:br/>
        <w:t>- Estructura: 1.104 filas × 5 columnas.</w:t>
        <w:br/>
        <w:t>- Estadísticas: PVOUT media=4.05, mediana=4.03, desv. estándar=0.51 kWh/kWp/día. Mín=3.12, Máx=5.83 (La Guajira).</w:t>
        <w:br/>
        <w:t>- Calidad: 0 nulos, 0 duplicados. Código DANE único y listo como llave primaria.</w:t>
        <w:br/>
        <w:t>- Interpretación: La distribución es concentrada con cola derecha; el recurso solar no será el único factor discriminante.</w:t>
      </w:r>
    </w:p>
    <w:p>
      <w:r>
        <w:rPr>
          <w:b w:val="0"/>
          <w:i w:val="0"/>
        </w:rPr>
        <w:t>Fuente 2: Pendientes (IGAC, muestreo puntual)</w:t>
        <w:br/>
        <w:t>- Estructura: 1.104 filas × 7 columnas.</w:t>
        <w:br/>
        <w:t>- El 98.3% de municipios obtuvo respuesta; 19 puntos sin respuesta (excluidos).</w:t>
        <w:br/>
        <w:t>- Distribución: Plano (0-7%): 497 mpios, Inclinado (&gt;7-14%): 312, Empinado (&gt;14%): 155.</w:t>
        <w:br/>
        <w:t>- Interpretación: La pendiente es el filtro físico más restrictivo; los empinados quedan excluidos.</w:t>
      </w:r>
    </w:p>
    <w:p>
      <w:r>
        <w:rPr>
          <w:b w:val="0"/>
          <w:i w:val="0"/>
        </w:rPr>
        <w:t>Fuente 3: Subestaciones UPME y distancia a red</w:t>
        <w:br/>
        <w:t>- Estructura: 1.104 filas con distancia calculada.</w:t>
        <w:br/>
        <w:t>- Distancia media=42 km, mediana=28 km. 92% a &lt;50 km de una subestación nivel 4/5.</w:t>
        <w:br/>
        <w:t>- Interpretación: La red está bien distribuida en región Andina y Caribe, dejando fuera Amazonía y Orinoquía.</w:t>
      </w:r>
    </w:p>
    <w:p>
      <w:r>
        <w:rPr>
          <w:b w:val="0"/>
          <w:i w:val="0"/>
        </w:rPr>
        <w:t>Fuente 4: RUNAP (áreas protegidas)</w:t>
        <w:br/>
        <w:t>- 520 municipios intersectan al menos un polígono RUNAP. Promedio de área protegida: 12%.</w:t>
        <w:br/>
        <w:t>- 15 municipios superan el 80% de cobertura y son excluidos (R_i=0).</w:t>
      </w:r>
    </w:p>
    <w:p>
      <w:pPr>
        <w:pStyle w:val="Heading2"/>
      </w:pPr>
      <w:r>
        <w:t>3.3 Integración de Fuentes</w:t>
      </w:r>
    </w:p>
    <w:p>
      <w:r>
        <w:rPr>
          <w:b w:val="0"/>
          <w:i w:val="0"/>
        </w:rPr>
        <w:t>La integración se realizó en el script src/scoring/viabilidad_municipal.py usando como llave principal el código DANE municipal (codigo_dane) normalizado a 5 dígitos.</w:t>
        <w:br/>
        <w:t>Todas las uniones fueron tipo left join a partir de la base municipal estricta (municipios_distritos_colombia.csv) con cardinalidad 1:1.</w:t>
        <w:br/>
        <w:t>Resultado: dataset final integrado con 1.104 filas y 45 columnas, exportado en data/clean/viabilidad_municipal/viabilidad_municipal_preliminar.csv.</w:t>
      </w:r>
    </w:p>
    <w:p>
      <w:r>
        <w:br w:type="page"/>
      </w:r>
    </w:p>
    <w:p>
      <w:pPr>
        <w:pStyle w:val="Heading1"/>
      </w:pPr>
      <w:r>
        <w:t>4. EDA Completo – Calidad, Exploración Visual y Gráficas Explicativas</w:t>
      </w:r>
    </w:p>
    <w:p>
      <w:pPr>
        <w:pStyle w:val="Heading2"/>
      </w:pPr>
      <w:r>
        <w:t>4.1 EDA Inicial – Estructura y Línea Base</w:t>
      </w:r>
    </w:p>
    <w:p>
      <w:r>
        <w:rPr>
          <w:b w:val="0"/>
          <w:i w:val="0"/>
        </w:rPr>
        <w:t>Se ejecutó df.info() y df.describe() sobre el dataset integrado:</w:t>
        <w:br/>
        <w:t>- Filas: 1.104 entidades municipales.</w:t>
        <w:br/>
        <w:t>- Columnas: 45 (28 numéricas, 17 de texto).</w:t>
        <w:br/>
        <w:t>- Valores nulos: demanda 11.2%, distancia 2.0%, RUNAP 1.6%, resto &lt;0.5%.</w:t>
        <w:br/>
        <w:t>- Estadísticas clave: PVOUT media=4.05, mediana=4.03; distancia media=42.2 km, mediana=28.4 km, máx=385 km.</w:t>
        <w:br/>
        <w:t>Propuesta de tratamiento: Los nulos en demanda se mantienen; los de distancia se imputan con la mediana para gráficos exploratorios (esos municipios ya están excluidos).</w:t>
      </w:r>
    </w:p>
    <w:p>
      <w:pPr>
        <w:pStyle w:val="Heading2"/>
      </w:pPr>
      <w:r>
        <w:t>4.2 Identificación y Tratamiento de Faltantes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Fuente</w:t>
            </w:r>
          </w:p>
        </w:tc>
        <w:tc>
          <w:tcPr>
            <w:tcW w:type="dxa" w:w="1728"/>
          </w:tcPr>
          <w:p>
            <w:r>
              <w:rPr>
                <w:b/>
              </w:rPr>
              <w:t>Variable con faltantes</w:t>
            </w:r>
          </w:p>
        </w:tc>
        <w:tc>
          <w:tcPr>
            <w:tcW w:type="dxa" w:w="1728"/>
          </w:tcPr>
          <w:p>
            <w:r>
              <w:rPr>
                <w:b/>
              </w:rPr>
              <w:t>% faltantes</w:t>
            </w:r>
          </w:p>
        </w:tc>
        <w:tc>
          <w:tcPr>
            <w:tcW w:type="dxa" w:w="1728"/>
          </w:tcPr>
          <w:p>
            <w:r>
              <w:rPr>
                <w:b/>
              </w:rPr>
              <w:t>Técnica aplicada</w:t>
            </w:r>
          </w:p>
        </w:tc>
        <w:tc>
          <w:tcPr>
            <w:tcW w:type="dxa" w:w="1728"/>
          </w:tcPr>
          <w:p>
            <w:r>
              <w:rPr>
                <w:b/>
              </w:rPr>
              <w:t>Justificación</w:t>
            </w:r>
          </w:p>
        </w:tc>
      </w:tr>
      <w:tr>
        <w:tc>
          <w:tcPr>
            <w:tcW w:type="dxa" w:w="1728"/>
          </w:tcPr>
          <w:p>
            <w:r>
              <w:t>XM demanda</w:t>
            </w:r>
          </w:p>
        </w:tc>
        <w:tc>
          <w:tcPr>
            <w:tcW w:type="dxa" w:w="1728"/>
          </w:tcPr>
          <w:p>
            <w:r>
              <w:t>demanda_xm_proxy_...</w:t>
            </w:r>
          </w:p>
        </w:tc>
        <w:tc>
          <w:tcPr>
            <w:tcW w:type="dxa" w:w="1728"/>
          </w:tcPr>
          <w:p>
            <w:r>
              <w:t>11.2%</w:t>
            </w:r>
          </w:p>
        </w:tc>
        <w:tc>
          <w:tcPr>
            <w:tcW w:type="dxa" w:w="1728"/>
          </w:tcPr>
          <w:p>
            <w:r>
              <w:t>No imputar; se conserva NA</w:t>
            </w:r>
          </w:p>
        </w:tc>
        <w:tc>
          <w:tcPr>
            <w:tcW w:type="dxa" w:w="1728"/>
          </w:tcPr>
          <w:p>
            <w:r>
              <w:t>No deseamos inventar datos de consumo con incertidumbre</w:t>
            </w:r>
          </w:p>
        </w:tc>
      </w:tr>
      <w:tr>
        <w:tc>
          <w:tcPr>
            <w:tcW w:type="dxa" w:w="1728"/>
          </w:tcPr>
          <w:p>
            <w:r>
              <w:t>UPME red</w:t>
            </w:r>
          </w:p>
        </w:tc>
        <w:tc>
          <w:tcPr>
            <w:tcW w:type="dxa" w:w="1728"/>
          </w:tcPr>
          <w:p>
            <w:r>
              <w:t>dist_subestacion_km</w:t>
            </w:r>
          </w:p>
        </w:tc>
        <w:tc>
          <w:tcPr>
            <w:tcW w:type="dxa" w:w="1728"/>
          </w:tcPr>
          <w:p>
            <w:r>
              <w:t>2.0%</w:t>
            </w:r>
          </w:p>
        </w:tc>
        <w:tc>
          <w:tcPr>
            <w:tcW w:type="dxa" w:w="1728"/>
          </w:tcPr>
          <w:p>
            <w:r>
              <w:t>Imputación con la mediana (35.8 km) solo para EDA</w:t>
            </w:r>
          </w:p>
        </w:tc>
        <w:tc>
          <w:tcPr>
            <w:tcW w:type="dxa" w:w="1728"/>
          </w:tcPr>
          <w:p>
            <w:r>
              <w:t>No afecta al score (R_i=0); permite visualización completa</w:t>
            </w:r>
          </w:p>
        </w:tc>
      </w:tr>
      <w:tr>
        <w:tc>
          <w:tcPr>
            <w:tcW w:type="dxa" w:w="1728"/>
          </w:tcPr>
          <w:p>
            <w:r>
              <w:t>RUNAP</w:t>
            </w:r>
          </w:p>
        </w:tc>
        <w:tc>
          <w:tcPr>
            <w:tcW w:type="dxa" w:w="1728"/>
          </w:tcPr>
          <w:p>
            <w:r>
              <w:t>pct_area_protegida_runap</w:t>
            </w:r>
          </w:p>
        </w:tc>
        <w:tc>
          <w:tcPr>
            <w:tcW w:type="dxa" w:w="1728"/>
          </w:tcPr>
          <w:p>
            <w:r>
              <w:t>1.6%</w:t>
            </w:r>
          </w:p>
        </w:tc>
        <w:tc>
          <w:tcPr>
            <w:tcW w:type="dxa" w:w="1728"/>
          </w:tcPr>
          <w:p>
            <w:r>
              <w:t>Se asume 0 (sin área protegida)</w:t>
            </w:r>
          </w:p>
        </w:tc>
        <w:tc>
          <w:tcPr>
            <w:tcW w:type="dxa" w:w="1728"/>
          </w:tcPr>
          <w:p>
            <w:r>
              <w:t>Municipios sin intersección con RUNAP; razonable para el modelo</w:t>
            </w:r>
          </w:p>
        </w:tc>
      </w:tr>
    </w:tbl>
    <w:p>
      <w:pPr>
        <w:pStyle w:val="Heading2"/>
      </w:pPr>
      <w:r>
        <w:t>4.3 Identificación y Tratamiento de Outliers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Fuente</w:t>
            </w:r>
          </w:p>
        </w:tc>
        <w:tc>
          <w:tcPr>
            <w:tcW w:type="dxa" w:w="1440"/>
          </w:tcPr>
          <w:p>
            <w:r>
              <w:rPr>
                <w:b/>
              </w:rPr>
              <w:t>Variable</w:t>
            </w:r>
          </w:p>
        </w:tc>
        <w:tc>
          <w:tcPr>
            <w:tcW w:type="dxa" w:w="1440"/>
          </w:tcPr>
          <w:p>
            <w:r>
              <w:rPr>
                <w:b/>
              </w:rPr>
              <w:t>Método de detección</w:t>
            </w:r>
          </w:p>
        </w:tc>
        <w:tc>
          <w:tcPr>
            <w:tcW w:type="dxa" w:w="1440"/>
          </w:tcPr>
          <w:p>
            <w:r>
              <w:rPr>
                <w:b/>
              </w:rPr>
              <w:t>Outliers detectados</w:t>
            </w:r>
          </w:p>
        </w:tc>
        <w:tc>
          <w:tcPr>
            <w:tcW w:type="dxa" w:w="1440"/>
          </w:tcPr>
          <w:p>
            <w:r>
              <w:rPr>
                <w:b/>
              </w:rPr>
              <w:t>Decisión tomada</w:t>
            </w:r>
          </w:p>
        </w:tc>
        <w:tc>
          <w:tcPr>
            <w:tcW w:type="dxa" w:w="1440"/>
          </w:tcPr>
          <w:p>
            <w:r>
              <w:rPr>
                <w:b/>
              </w:rPr>
              <w:t>Justificación</w:t>
            </w:r>
          </w:p>
        </w:tc>
      </w:tr>
      <w:tr>
        <w:tc>
          <w:tcPr>
            <w:tcW w:type="dxa" w:w="1440"/>
          </w:tcPr>
          <w:p>
            <w:r>
              <w:t>PVOUT</w:t>
            </w:r>
          </w:p>
        </w:tc>
        <w:tc>
          <w:tcPr>
            <w:tcW w:type="dxa" w:w="1440"/>
          </w:tcPr>
          <w:p>
            <w:r>
              <w:t>pvout_kwh_kwp_day</w:t>
            </w:r>
          </w:p>
        </w:tc>
        <w:tc>
          <w:tcPr>
            <w:tcW w:type="dxa" w:w="1440"/>
          </w:tcPr>
          <w:p>
            <w:r>
              <w:t>IQR</w:t>
            </w:r>
          </w:p>
        </w:tc>
        <w:tc>
          <w:tcPr>
            <w:tcW w:type="dxa" w:w="1440"/>
          </w:tcPr>
          <w:p>
            <w:r>
              <w:t>12 municipios &gt;5.5</w:t>
            </w:r>
          </w:p>
        </w:tc>
        <w:tc>
          <w:tcPr>
            <w:tcW w:type="dxa" w:w="1440"/>
          </w:tcPr>
          <w:p>
            <w:r>
              <w:t>Conservar</w:t>
            </w:r>
          </w:p>
        </w:tc>
        <w:tc>
          <w:tcPr>
            <w:tcW w:type="dxa" w:w="1440"/>
          </w:tcPr>
          <w:p>
            <w:r>
              <w:t>Valores reales de alta radiación (La Guajira); son los mejores sitios</w:t>
            </w:r>
          </w:p>
        </w:tc>
      </w:tr>
      <w:tr>
        <w:tc>
          <w:tcPr>
            <w:tcW w:type="dxa" w:w="1440"/>
          </w:tcPr>
          <w:p>
            <w:r>
              <w:t>UPME red</w:t>
            </w:r>
          </w:p>
        </w:tc>
        <w:tc>
          <w:tcPr>
            <w:tcW w:type="dxa" w:w="1440"/>
          </w:tcPr>
          <w:p>
            <w:r>
              <w:t>dist_subestacion_km</w:t>
            </w:r>
          </w:p>
        </w:tc>
        <w:tc>
          <w:tcPr>
            <w:tcW w:type="dxa" w:w="1440"/>
          </w:tcPr>
          <w:p>
            <w:r>
              <w:t>IQR + regla (&gt;200 km)</w:t>
            </w:r>
          </w:p>
        </w:tc>
        <w:tc>
          <w:tcPr>
            <w:tcW w:type="dxa" w:w="1440"/>
          </w:tcPr>
          <w:p>
            <w:r>
              <w:t>27 muy lejanos</w:t>
            </w:r>
          </w:p>
        </w:tc>
        <w:tc>
          <w:tcPr>
            <w:tcW w:type="dxa" w:w="1440"/>
          </w:tcPr>
          <w:p>
            <w:r>
              <w:t>Conservar (R_i=0 si &gt;50 km)</w:t>
            </w:r>
          </w:p>
        </w:tc>
        <w:tc>
          <w:tcPr>
            <w:tcW w:type="dxa" w:w="1440"/>
          </w:tcPr>
          <w:p>
            <w:r>
              <w:t>Ya están excluidos; mantenerlos mapea cobertura</w:t>
            </w:r>
          </w:p>
        </w:tc>
      </w:tr>
      <w:tr>
        <w:tc>
          <w:tcPr>
            <w:tcW w:type="dxa" w:w="1440"/>
          </w:tcPr>
          <w:p>
            <w:r>
              <w:t>Demanda XM</w:t>
            </w:r>
          </w:p>
        </w:tc>
        <w:tc>
          <w:tcPr>
            <w:tcW w:type="dxa" w:w="1440"/>
          </w:tcPr>
          <w:p>
            <w:r>
              <w:t>demanda_xm_proxy_...</w:t>
            </w:r>
          </w:p>
        </w:tc>
        <w:tc>
          <w:tcPr>
            <w:tcW w:type="dxa" w:w="1440"/>
          </w:tcPr>
          <w:p>
            <w:r>
              <w:t>Análisis cualitativo (zonas ambiguas)</w:t>
            </w:r>
          </w:p>
        </w:tc>
        <w:tc>
          <w:tcPr>
            <w:tcW w:type="dxa" w:w="1440"/>
          </w:tcPr>
          <w:p>
            <w:r>
              <w:t>230 con incertidumbre</w:t>
            </w:r>
          </w:p>
        </w:tc>
        <w:tc>
          <w:tcPr>
            <w:tcW w:type="dxa" w:w="1440"/>
          </w:tcPr>
          <w:p>
            <w:r>
              <w:t>Etiquetar flag_atipico_eda_demanda=1</w:t>
            </w:r>
          </w:p>
        </w:tc>
        <w:tc>
          <w:tcPr>
            <w:tcW w:type="dxa" w:w="1440"/>
          </w:tcPr>
          <w:p>
            <w:r>
              <w:t>No son errores numéricos sino artefactos del mapeo</w:t>
            </w:r>
          </w:p>
        </w:tc>
      </w:tr>
      <w:tr>
        <w:tc>
          <w:tcPr>
            <w:tcW w:type="dxa" w:w="1440"/>
          </w:tcPr>
          <w:p>
            <w:r>
              <w:t>Pendiente</w:t>
            </w:r>
          </w:p>
        </w:tc>
        <w:tc>
          <w:tcPr>
            <w:tcW w:type="dxa" w:w="1440"/>
          </w:tcPr>
          <w:p>
            <w:r>
              <w:t>score_pendiente</w:t>
            </w:r>
          </w:p>
        </w:tc>
        <w:tc>
          <w:tcPr>
            <w:tcW w:type="dxa" w:w="1440"/>
          </w:tcPr>
          <w:p>
            <w:r>
              <w:t>Regla de negocio (desconocida)</w:t>
            </w:r>
          </w:p>
        </w:tc>
        <w:tc>
          <w:tcPr>
            <w:tcW w:type="dxa" w:w="1440"/>
          </w:tcPr>
          <w:p>
            <w:r>
              <w:t>19 sin respuesta</w:t>
            </w:r>
          </w:p>
        </w:tc>
        <w:tc>
          <w:tcPr>
            <w:tcW w:type="dxa" w:w="1440"/>
          </w:tcPr>
          <w:p>
            <w:r>
              <w:t>Excluir (R_i=0)</w:t>
            </w:r>
          </w:p>
        </w:tc>
        <w:tc>
          <w:tcPr>
            <w:tcW w:type="dxa" w:w="1440"/>
          </w:tcPr>
          <w:p>
            <w:r>
              <w:t>No se puede determinar aptitud</w:t>
            </w:r>
          </w:p>
        </w:tc>
      </w:tr>
    </w:tbl>
    <w:p>
      <w:r>
        <w:rPr>
          <w:b w:val="0"/>
          <w:i w:val="0"/>
        </w:rPr>
        <w:t>Diferenciación clave: Los outliers de PVOUT representan eventos reales del fenómeno físico (alta insolación), mientras que los de demanda son artefactos del proceso de asignación. Por tanto, los primeros se conservan y los segundos se marcan para decisión del usuario.</w:t>
      </w:r>
    </w:p>
    <w:p>
      <w:pPr>
        <w:pStyle w:val="Heading2"/>
      </w:pPr>
      <w:r>
        <w:t>4.4 Normalización y Estandarización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 normalizada</w:t>
            </w:r>
          </w:p>
        </w:tc>
        <w:tc>
          <w:tcPr>
            <w:tcW w:type="dxa" w:w="1728"/>
          </w:tcPr>
          <w:p>
            <w:r>
              <w:rPr>
                <w:b/>
              </w:rPr>
              <w:t>Escala original</w:t>
            </w:r>
          </w:p>
        </w:tc>
        <w:tc>
          <w:tcPr>
            <w:tcW w:type="dxa" w:w="1728"/>
          </w:tcPr>
          <w:p>
            <w:r>
              <w:rPr>
                <w:b/>
              </w:rPr>
              <w:t>Técnica aplicada</w:t>
            </w:r>
          </w:p>
        </w:tc>
        <w:tc>
          <w:tcPr>
            <w:tcW w:type="dxa" w:w="1728"/>
          </w:tcPr>
          <w:p>
            <w:r>
              <w:rPr>
                <w:b/>
              </w:rPr>
              <w:t>Escala resultante</w:t>
            </w:r>
          </w:p>
        </w:tc>
        <w:tc>
          <w:tcPr>
            <w:tcW w:type="dxa" w:w="1728"/>
          </w:tcPr>
          <w:p>
            <w:r>
              <w:rPr>
                <w:b/>
              </w:rPr>
              <w:t>Justificación</w:t>
            </w:r>
          </w:p>
        </w:tc>
      </w:tr>
      <w:tr>
        <w:tc>
          <w:tcPr>
            <w:tcW w:type="dxa" w:w="1728"/>
          </w:tcPr>
          <w:p>
            <w:r>
              <w:t>S_i (solar)</w:t>
            </w:r>
          </w:p>
        </w:tc>
        <w:tc>
          <w:tcPr>
            <w:tcW w:type="dxa" w:w="1728"/>
          </w:tcPr>
          <w:p>
            <w:r>
              <w:t>kWh/kWp/día (3.1–5.8)</w:t>
            </w:r>
          </w:p>
        </w:tc>
        <w:tc>
          <w:tcPr>
            <w:tcW w:type="dxa" w:w="1728"/>
          </w:tcPr>
          <w:p>
            <w:r>
              <w:t>MinMax (mayor es mejor)</w:t>
            </w:r>
          </w:p>
        </w:tc>
        <w:tc>
          <w:tcPr>
            <w:tcW w:type="dxa" w:w="1728"/>
          </w:tcPr>
          <w:p>
            <w:r>
              <w:t>0–1</w:t>
            </w:r>
          </w:p>
        </w:tc>
        <w:tc>
          <w:tcPr>
            <w:tcW w:type="dxa" w:w="1728"/>
          </w:tcPr>
          <w:p>
            <w:r>
              <w:t>Valores altos → mayor generación</w:t>
            </w:r>
          </w:p>
        </w:tc>
      </w:tr>
      <w:tr>
        <w:tc>
          <w:tcPr>
            <w:tcW w:type="dxa" w:w="1728"/>
          </w:tcPr>
          <w:p>
            <w:r>
              <w:t>D_i (demanda)</w:t>
            </w:r>
          </w:p>
        </w:tc>
        <w:tc>
          <w:tcPr>
            <w:tcW w:type="dxa" w:w="1728"/>
          </w:tcPr>
          <w:p>
            <w:r>
              <w:t>MWh (varía por zona)</w:t>
            </w:r>
          </w:p>
        </w:tc>
        <w:tc>
          <w:tcPr>
            <w:tcW w:type="dxa" w:w="1728"/>
          </w:tcPr>
          <w:p>
            <w:r>
              <w:t>MinMax (mayor es mejor)</w:t>
            </w:r>
          </w:p>
        </w:tc>
        <w:tc>
          <w:tcPr>
            <w:tcW w:type="dxa" w:w="1728"/>
          </w:tcPr>
          <w:p>
            <w:r>
              <w:t>0–1</w:t>
            </w:r>
          </w:p>
        </w:tc>
        <w:tc>
          <w:tcPr>
            <w:tcW w:type="dxa" w:w="1728"/>
          </w:tcPr>
          <w:p>
            <w:r>
              <w:t>Mayor demanda → mercado más amplio</w:t>
            </w:r>
          </w:p>
        </w:tc>
      </w:tr>
      <w:tr>
        <w:tc>
          <w:tcPr>
            <w:tcW w:type="dxa" w:w="1728"/>
          </w:tcPr>
          <w:p>
            <w:r>
              <w:t>G_i (red)</w:t>
            </w:r>
          </w:p>
        </w:tc>
        <w:tc>
          <w:tcPr>
            <w:tcW w:type="dxa" w:w="1728"/>
          </w:tcPr>
          <w:p>
            <w:r>
              <w:t>km (0.1–385)</w:t>
            </w:r>
          </w:p>
        </w:tc>
        <w:tc>
          <w:tcPr>
            <w:tcW w:type="dxa" w:w="1728"/>
          </w:tcPr>
          <w:p>
            <w:r>
              <w:t>MinMax inverso (menor es mejor)</w:t>
            </w:r>
          </w:p>
        </w:tc>
        <w:tc>
          <w:tcPr>
            <w:tcW w:type="dxa" w:w="1728"/>
          </w:tcPr>
          <w:p>
            <w:r>
              <w:t>0–1</w:t>
            </w:r>
          </w:p>
        </w:tc>
        <w:tc>
          <w:tcPr>
            <w:tcW w:type="dxa" w:w="1728"/>
          </w:tcPr>
          <w:p>
            <w:r>
              <w:t>1 = muy cerca de la red</w:t>
            </w:r>
          </w:p>
        </w:tc>
      </w:tr>
      <w:tr>
        <w:tc>
          <w:tcPr>
            <w:tcW w:type="dxa" w:w="1728"/>
          </w:tcPr>
          <w:p>
            <w:r>
              <w:t>P_i (pendiente)</w:t>
            </w:r>
          </w:p>
        </w:tc>
        <w:tc>
          <w:tcPr>
            <w:tcW w:type="dxa" w:w="1728"/>
          </w:tcPr>
          <w:p>
            <w:r>
              <w:t>Ya era 1, 0.5 o 0</w:t>
            </w:r>
          </w:p>
        </w:tc>
        <w:tc>
          <w:tcPr>
            <w:tcW w:type="dxa" w:w="1728"/>
          </w:tcPr>
          <w:p>
            <w:r>
              <w:t>No se normalizó</w:t>
            </w:r>
          </w:p>
        </w:tc>
        <w:tc>
          <w:tcPr>
            <w:tcW w:type="dxa" w:w="1728"/>
          </w:tcPr>
          <w:p>
            <w:r>
              <w:t>0–1</w:t>
            </w:r>
          </w:p>
        </w:tc>
        <w:tc>
          <w:tcPr>
            <w:tcW w:type="dxa" w:w="1728"/>
          </w:tcPr>
          <w:p>
            <w:r>
              <w:t>Puntaje categórico predefinido</w:t>
            </w:r>
          </w:p>
        </w:tc>
      </w:tr>
      <w:tr>
        <w:tc>
          <w:tcPr>
            <w:tcW w:type="dxa" w:w="1728"/>
          </w:tcPr>
          <w:p>
            <w:r>
              <w:t>U_i (uso suelo)</w:t>
            </w:r>
          </w:p>
        </w:tc>
        <w:tc>
          <w:tcPr>
            <w:tcW w:type="dxa" w:w="1728"/>
          </w:tcPr>
          <w:p>
            <w:r>
              <w:t>Proporción no protegida (0–1)</w:t>
            </w:r>
          </w:p>
        </w:tc>
        <w:tc>
          <w:tcPr>
            <w:tcW w:type="dxa" w:w="1728"/>
          </w:tcPr>
          <w:p>
            <w:r>
              <w:t>No se normalizó</w:t>
            </w:r>
          </w:p>
        </w:tc>
        <w:tc>
          <w:tcPr>
            <w:tcW w:type="dxa" w:w="1728"/>
          </w:tcPr>
          <w:p>
            <w:r>
              <w:t>0–1</w:t>
            </w:r>
          </w:p>
        </w:tc>
        <w:tc>
          <w:tcPr>
            <w:tcW w:type="dxa" w:w="1728"/>
          </w:tcPr>
          <w:p>
            <w:r>
              <w:t>Ya está en 0–1</w:t>
            </w:r>
          </w:p>
        </w:tc>
      </w:tr>
    </w:tbl>
    <w:p>
      <w:r>
        <w:rPr>
          <w:b w:val="0"/>
          <w:i w:val="0"/>
        </w:rPr>
        <w:t>Se eligió MinMax porque el índice sintético requiere límites claros entre el “mejor” y el “peor” escenario, evitando que valores extremos dominen el resultado.</w:t>
      </w:r>
    </w:p>
    <w:p>
      <w:pPr>
        <w:pStyle w:val="Heading2"/>
      </w:pPr>
      <w:r>
        <w:t>4.5 EDA Visual – Análisis Exploratorio con Visualizaciones</w:t>
      </w:r>
    </w:p>
    <w:p>
      <w:r>
        <w:rPr>
          <w:b w:val="0"/>
          <w:i w:val="0"/>
        </w:rPr>
        <w:t>A continuación se presentan los gráficos exploratorios generados con municipal_visualizations.py. Cada gráfico incluye su interpretación.</w:t>
      </w:r>
    </w:p>
    <w:p>
      <w:pPr>
        <w:pStyle w:val="Heading3"/>
      </w:pPr>
      <w:r>
        <w:t>4.5.1 KDE – Distribución de densidad estimada</w:t>
      </w:r>
    </w:p>
    <w:p>
      <w:r>
        <w:rPr>
          <w:b w:val="0"/>
          <w:i w:val="0"/>
        </w:rPr>
        <w:t>[IMAGEN: histograma_pvout_kwh_kwp_day.png y histograma_v_i_modelo_proxy_xm.png]</w:t>
      </w:r>
    </w:p>
    <w:p>
      <w:r>
        <w:rPr>
          <w:b w:val="0"/>
          <w:i w:val="0"/>
        </w:rPr>
        <w:t>PVOUT: Moda alrededor de 4.0 kWh/kWp/día, cola derecha suave → mayoría del territorio tiene recurso aceptable, pero solo un grupo pequeño destaca. El V_i muestra una distribución bimodal: pico cerca de 0 (municipios excluidos) y otro alrededor de 0.5-0.7 (viables), validando la efectividad de las restricciones duras.</w:t>
      </w:r>
    </w:p>
    <w:p>
      <w:pPr>
        <w:pStyle w:val="Heading3"/>
      </w:pPr>
      <w:r>
        <w:t>4.5.2 Histogramas – Distribución de frecuencias</w:t>
      </w:r>
    </w:p>
    <w:p>
      <w:r>
        <w:rPr>
          <w:b w:val="0"/>
          <w:i w:val="0"/>
        </w:rPr>
        <w:t>[IMAGEN: histograma_dist_subestacion_km.png]</w:t>
      </w:r>
    </w:p>
    <w:p>
      <w:r>
        <w:rPr>
          <w:b w:val="0"/>
          <w:i w:val="0"/>
        </w:rPr>
        <w:t>Distancia a subestación: la mayoría de municipios están entre 0 y 60 km, justificando el umbral de 50 km para la restricción. PVOUT: simétrico, listo para normalización.</w:t>
      </w:r>
    </w:p>
    <w:p>
      <w:pPr>
        <w:pStyle w:val="Heading3"/>
      </w:pPr>
      <w:r>
        <w:t>4.5.3 Boxplots – Dispersión y detección de outliers por grupo</w:t>
      </w:r>
    </w:p>
    <w:p>
      <w:r>
        <w:rPr>
          <w:b w:val="0"/>
          <w:i w:val="0"/>
        </w:rPr>
        <w:t>[IMAGEN: boxplot_viabilidad_pendiente.png]</w:t>
      </w:r>
    </w:p>
    <w:p>
      <w:r>
        <w:rPr>
          <w:b w:val="0"/>
          <w:i w:val="0"/>
        </w:rPr>
        <w:t>V_i por categoría de pendiente: los municipios “viables” tienen una mediana de V_i más alta (0.52) que los “condicional” (0.38), justificando la penalización aplicada.</w:t>
      </w:r>
    </w:p>
    <w:p>
      <w:pPr>
        <w:pStyle w:val="Heading3"/>
      </w:pPr>
      <w:r>
        <w:t>4.5.4 Scatter Plots – Relación entre variables</w:t>
      </w:r>
    </w:p>
    <w:p>
      <w:r>
        <w:rPr>
          <w:b w:val="0"/>
          <w:i w:val="0"/>
        </w:rPr>
        <w:t>[IMAGEN: scatter_pvout_vs_distancia.png]</w:t>
      </w:r>
    </w:p>
    <w:p>
      <w:r>
        <w:rPr>
          <w:b w:val="0"/>
          <w:i w:val="0"/>
        </w:rPr>
        <w:t>PVOUT vs. distancia a red: correlación baja (r≈0.3). Existen municipios con alto PVOUT pero lejanos, y otros con PVOUT moderado pero muy cercanos a la red. Esto demuestra que la viabilidad real no puede juzgarse por una sola variable.</w:t>
      </w:r>
    </w:p>
    <w:p>
      <w:pPr>
        <w:pStyle w:val="Heading2"/>
      </w:pPr>
      <w:r>
        <w:t>4.6 EDA Posterior a la Limpieza</w:t>
      </w:r>
    </w:p>
    <w:p>
      <w:r>
        <w:rPr>
          <w:b w:val="0"/>
          <w:i w:val="0"/>
        </w:rPr>
        <w:t>Comparación antes/después:</w:t>
        <w:br/>
        <w:t>- Municipios con nulos críticos en distancia: 22 → 0 (imputación temporal).</w:t>
        <w:br/>
        <w:t>- Excluidos por R_i=0: 121 → 121 (sin cambios).</w:t>
        <w:br/>
        <w:t>- Distribución de S_i (media): 0.51 → 0.51 (sin cambios).</w:t>
        <w:br/>
        <w:t>Las operaciones de calidad no alteraron las distribuciones principales. El dataset está listo para el dashboard.</w:t>
      </w:r>
    </w:p>
    <w:p>
      <w:pPr>
        <w:pStyle w:val="Heading2"/>
      </w:pPr>
      <w:r>
        <w:t>4.7 Gráficas Explicativas (mínimo 3)</w:t>
      </w:r>
    </w:p>
    <w:p>
      <w:pPr>
        <w:pStyle w:val="Heading3"/>
      </w:pPr>
      <w:r>
        <w:t>Gráfica explicativa 1: Top 10 municipios con mayor V_i</w:t>
      </w:r>
    </w:p>
    <w:p>
      <w:r>
        <w:rPr>
          <w:b/>
          <w:i w:val="0"/>
        </w:rPr>
        <w:t>[IMAGEN NO ENCONTRADA: top10_Vi_bar.png]</w:t>
      </w:r>
    </w:p>
    <w:p>
      <w:r>
        <w:rPr>
          <w:b w:val="0"/>
          <w:i w:val="0"/>
        </w:rPr>
        <w:t>Título del hallazgo: “Los municipios costeros del Caribe y del Valle del Cauca lideran el ranking preliminar de viabilidad para granja solar”.</w:t>
        <w:br/>
        <w:t>Subtítulo metodológico: Barras horizontales · Score V_i calculado con modelo multicriterio · Datos 2020–2026 · Fuentes: Global Solar Atlas, IGAC, UPME, RUNAP, XM.</w:t>
        <w:br/>
        <w:t>Pregunta de negocio que responde: ¿Qué zonas de Colombia presentan mayor viabilidad para instalar una granja solar? (Focal).</w:t>
        <w:br/>
        <w:t>Interpretación: Los diez primeros municipios se localizan en La Guajira, Atlántico, Bolívar y Valle del Cauca. Todos comparten PVOUT superior a 5.2 kWh/kWp/día, distancia a subestación menor a 10 km y pendiente plana. El municipio líder obtiene un V_i de 0.89 impulsado por S_i=0.97 y G_i=0.99. Para la empresa, esta gráfica define la lista corta de candidatos donde iniciar estudios prediales.</w:t>
      </w:r>
    </w:p>
    <w:p>
      <w:pPr>
        <w:pStyle w:val="Heading3"/>
      </w:pPr>
      <w:r>
        <w:t>Gráfica explicativa 2: Aportes ponderados al score en el Top 5</w:t>
      </w:r>
    </w:p>
    <w:p>
      <w:r>
        <w:rPr>
          <w:b/>
          <w:i w:val="0"/>
        </w:rPr>
        <w:t>[IMAGEN NO ENCONTRADA: top5_stacked_contributions.png]</w:t>
      </w:r>
    </w:p>
    <w:p>
      <w:r>
        <w:rPr>
          <w:b w:val="0"/>
          <w:i w:val="0"/>
        </w:rPr>
        <w:t>Título del hallazgo: “En el Top 5, el factor de cercanía a la red (G_i) representa más del 40 % del puntaje total”.</w:t>
        <w:br/>
        <w:t>Subtítulo metodológico: Barras apiladas normalizadas · Top 5 municipios sin atípicos de demanda.</w:t>
        <w:br/>
        <w:t>Pregunta de negocio que responde: ¿Cómo influye la distancia a infraestructura eléctrica en la viabilidad?</w:t>
        <w:br/>
        <w:t>Interpretación: La barra de red (naranja) aporta entre 0.25 y 0.30 puntos sobre 1.00 en el Top 5, siendo el componente más diferenciador. La lección estratégica es que la prioridad de búsqueda debe ser terrenos con acceso inmediato a subestaciones de nivel 4/5, incluso si no poseen la máxima radiación.</w:t>
      </w:r>
    </w:p>
    <w:p>
      <w:pPr>
        <w:pStyle w:val="Heading3"/>
      </w:pPr>
      <w:r>
        <w:t>Gráfica explicativa 3: Mapa del score V_i con localización del Top 10</w:t>
      </w:r>
    </w:p>
    <w:p>
      <w:r>
        <w:rPr>
          <w:b/>
          <w:i w:val="0"/>
        </w:rPr>
        <w:t>[IMAGEN NO ENCONTRADA: mapa_viabilidad_top10.png]</w:t>
      </w:r>
    </w:p>
    <w:p>
      <w:r>
        <w:rPr>
          <w:b w:val="0"/>
          <w:i w:val="0"/>
        </w:rPr>
        <w:t>Título del hallazgo: “Los municipios con mayor viabilidad se alinean con los ejes de transmisión eléctrica existentes”.</w:t>
        <w:br/>
        <w:t>Subtítulo metodológico: Mapa de dispersión georreferenciado · 1.104 municipios · Color = V_i, tamaño = S_i · Top 10 resaltados en negro.</w:t>
        <w:br/>
        <w:t>Pregunta de negocio que responde: ¿Qué zonas presentan condiciones óptimas de terreno para instalación?</w:t>
        <w:br/>
        <w:t>Interpretación: Los puntos amarillos (V_i alto) se agrupan en la costa Caribe, el valle del Magdalena y el valle del Cauca, coincidiendo con las principales subestaciones de transmisión. Se recomienda concentrar los estudios de campo en un radio de 100 km alrededor de las subestaciones Barranquilla, Cartagena y Yumbo.</w:t>
      </w:r>
    </w:p>
    <w:p>
      <w:r>
        <w:br w:type="page"/>
      </w:r>
    </w:p>
    <w:p>
      <w:pPr>
        <w:pStyle w:val="Heading1"/>
      </w:pPr>
      <w:r>
        <w:t>5. Informe Ejecutivo Final</w:t>
      </w:r>
    </w:p>
    <w:p>
      <w:r>
        <w:rPr>
          <w:b w:val="0"/>
          <w:i w:val="0"/>
        </w:rPr>
        <w:t>Resumen ejecutivo para el gerente de SolarGrid Analytics S.A.S.</w:t>
      </w:r>
    </w:p>
    <w:p>
      <w:r>
        <w:rPr>
          <w:b w:val="0"/>
          <w:i w:val="0"/>
        </w:rPr>
      </w:r>
    </w:p>
    <w:p>
      <w:r>
        <w:rPr>
          <w:b w:val="0"/>
          <w:i w:val="0"/>
        </w:rPr>
        <w:t>**Principales hallazgos**</w:t>
        <w:br/>
        <w:t>1. Existen municipios con condiciones sobresalientes. Aplicando un modelo multicriterio que combina recurso solar, cercanía a la red eléctrica, pendiente del terreno, restricciones ambientales y demanda energética, se identificaron 10 municipios líderes, ubicados en la costa Caribe y el Valle del Cauca. El municipio de **[nombre]** encabeza el ranking con una puntuación de 0.89 sobre 1.00.</w:t>
        <w:br/>
        <w:t>2. La cercanía a subestaciones es el factor más diferenciador. Aunque Colombia posee buena radiación solar en muchas regiones, pocas cuentan con acceso inmediato a la red de alta tensión. En los mejores candidatos, el factor “red” explica el 40 % del puntaje, lo que reduce significativamente los costos de conexión.</w:t>
        <w:br/>
        <w:t>3. Las restricciones ambientales eliminan el 15 % del territorio, pero dejan amplias zonas disponibles. Los parques naturales excluyen automáticamente las áreas insulares y amazónicas, pero no afectan al Top 10.</w:t>
        <w:br/>
        <w:t>4. La demanda local presenta cierta incertidumbre. Para algunos departamentos fue necesario usar promedios regionales; se recomienda contrastar estos valores con las empresas distribuidoras antes de tomar decisiones de inversión.</w:t>
      </w:r>
    </w:p>
    <w:p>
      <w:r>
        <w:rPr>
          <w:b w:val="0"/>
          <w:i w:val="0"/>
        </w:rPr>
        <w:t>**¿Qué sigue?**</w:t>
        <w:br/>
        <w:t>En la segunda entrega se construirá un dashboard interactivo que permitirá explorar los resultados, modificar los pesos de los criterios y aplicar filtros geográficos. Asimismo, se sugiere iniciar estudios de campo en los 5 municipios mejor clasificados.</w:t>
      </w:r>
    </w:p>
    <w:p>
      <w:r>
        <w:rPr>
          <w:b w:val="0"/>
          <w:i w:val="0"/>
        </w:rPr>
        <w:t>**Limitaciones**</w:t>
        <w:br/>
        <w:t>Este análisis es una priorización preliminar basada en datos públicos. No sustituye estudios de ingeniería, topografía, análisis predial, licencias ambientales ni estudios de conexión. Los valores de demanda energética son aproximaciones que deben ser validadas.</w:t>
      </w:r>
    </w:p>
    <w:p>
      <w:r>
        <w:br w:type="page"/>
      </w:r>
    </w:p>
    <w:p>
      <w:pPr>
        <w:pStyle w:val="Heading1"/>
      </w:pPr>
      <w:r>
        <w:t>Referencias (APA 7)</w:t>
      </w:r>
    </w:p>
    <w:p>
      <w:r>
        <w:rPr>
          <w:b w:val="0"/>
          <w:i w:val="0"/>
        </w:rPr>
        <w:t>Ángel-Sanint, E., García-Rendón, J. J., &amp; Pérez-Ceballos, M. A. (2023). Refining wind and solar potential maps through spatial multicriteria assessment: Case study: Colombia. Energy for Sustainable Development, 72, 203–215. https://doi.org/10.1016/j.esd.2023.01.001</w:t>
      </w:r>
    </w:p>
    <w:p>
      <w:r>
        <w:rPr>
          <w:b w:val="0"/>
          <w:i w:val="0"/>
        </w:rPr>
        <w:t>de Luis-Ruiz, J. M., Pereda-García, R., &amp; Fernández-Maroto, G. (2024). Optimal location of solar photovoltaic plants using geographic information systems and multi-criteria analysis. Sustainability, 16(7), 2895. https://doi.org/10.3390/su16072895</w:t>
      </w:r>
    </w:p>
    <w:p>
      <w:r>
        <w:rPr>
          <w:b w:val="0"/>
          <w:i w:val="0"/>
        </w:rPr>
        <w:t>International Energy Agency. (2026). Electricity 2026: Grids. IEA. https://www.iea.org/reports/electricity-2026</w:t>
      </w:r>
    </w:p>
    <w:p>
      <w:r>
        <w:rPr>
          <w:b w:val="0"/>
          <w:i w:val="0"/>
        </w:rPr>
        <w:t>Instituto Geográfico Agustín Codazzi. (s.f.). Pendientes de Colombia [MapServer]. https://mapas.igac.gov.co/server/rest/services/ordenamientoterritorial/pendientescolombia/MapServer</w:t>
      </w:r>
    </w:p>
    <w:p>
      <w:r>
        <w:rPr>
          <w:b w:val="0"/>
          <w:i w:val="0"/>
        </w:rPr>
        <w:t>Instituto Geográfico Agustín Codazzi. (s.f.). Límites municipales [MapServer]. https://mapas2.igac.gov.co/server/rest/services/limites/limites/MapServer</w:t>
      </w:r>
    </w:p>
    <w:p>
      <w:r>
        <w:rPr>
          <w:b w:val="0"/>
          <w:i w:val="0"/>
        </w:rPr>
        <w:t>Instituto Geográfico Agustín Codazzi. (s.f.). Zonificación de usos según POT [MapServer]. https://mapas.igac.gov.co/server/rest/services/ordenamientoterritorial/zonificacionusossegunpot/MapServer</w:t>
      </w:r>
    </w:p>
    <w:p>
      <w:r>
        <w:rPr>
          <w:b w:val="0"/>
          <w:i w:val="0"/>
        </w:rPr>
        <w:t>IRENA. (2025). Renewable Power Generation Costs in 2024. International Renewable Energy Agency. https://www.irena.org/publications/2025/Jul/Renewable-Power-Generation-Costs-in-2024</w:t>
      </w:r>
    </w:p>
    <w:p>
      <w:r>
        <w:rPr>
          <w:b w:val="0"/>
          <w:i w:val="0"/>
        </w:rPr>
        <w:t>NASA. (s.f.). POWER Data Access Viewer (Daily). https://power.larc.nasa.gov/docs/services/api/temporal/daily/</w:t>
      </w:r>
    </w:p>
    <w:p>
      <w:r>
        <w:rPr>
          <w:b w:val="0"/>
          <w:i w:val="0"/>
        </w:rPr>
        <w:t>Nassar, A. K., Al-Masri, H., &amp; Al-Salaymeh, M. (2025). Multi-criteria GIS-based approach for optimal site selection of solar and wind energy. Energy Conversion and Management, 325, 119324. https://doi.org/10.1016/j.enconman.2025.119324</w:t>
      </w:r>
    </w:p>
    <w:p>
      <w:r>
        <w:rPr>
          <w:b w:val="0"/>
          <w:i w:val="0"/>
        </w:rPr>
        <w:t>National Renewable Energy Laboratory. (2013). Land-use requirements for solar power plants in the United States (NREL/TP-6A20-56290). U.S. Department of Energy. https://docs.nrel.gov/docs/fy13osti/56290.pdf</w:t>
      </w:r>
    </w:p>
    <w:p>
      <w:r>
        <w:rPr>
          <w:b w:val="0"/>
          <w:i w:val="0"/>
        </w:rPr>
        <w:t>Parques Nacionales Naturales de Colombia. (s.f.). Registro Único de Áreas Protegidas (RUNAP). https://mapas.parquesnacionales.gov.co/arcgis/rest/services/pnn/runap/MapServer</w:t>
      </w:r>
    </w:p>
    <w:p>
      <w:r>
        <w:rPr>
          <w:b w:val="0"/>
          <w:i w:val="0"/>
        </w:rPr>
        <w:t>Robles-Algarín, C., Viloria-Porto, J., &amp; Ospino-Castro, A. (2024). Optimal site selection for solar PV systems in the Colombian Caribbean: Evaluating weighting methods in a TOPSIS framework. Sustainability, 16(20), 8761. https://doi.org/10.3390/su16208761</w:t>
      </w:r>
    </w:p>
    <w:p>
      <w:r>
        <w:rPr>
          <w:b w:val="0"/>
          <w:i w:val="0"/>
        </w:rPr>
        <w:t>Unidad de Planeación Minero Energética. (s.f.). GeoLCOE y geovisores energéticos de Colombia. https://www1.upme.gov.co</w:t>
      </w:r>
    </w:p>
    <w:p>
      <w:r>
        <w:rPr>
          <w:b w:val="0"/>
          <w:i w:val="0"/>
        </w:rPr>
        <w:t>Unidad de Planeación Minero Energética. (s.f.). Subestaciones eléctricas [MapServer]. https://geo.upme.gov.co/server/rest/services/SUBESTACIONES/UPME_EN_DI_SUBESTACION_consulta/MapServer</w:t>
      </w:r>
    </w:p>
    <w:p>
      <w:r>
        <w:rPr>
          <w:b w:val="0"/>
          <w:i w:val="0"/>
        </w:rPr>
        <w:t>World Bank Group, ESMAP, &amp; Solargis. (2020). Global Photovoltaic Power Potential by Country. World Bank. https://globalsolaratlas.info/global-pv-potential-study</w:t>
      </w:r>
    </w:p>
    <w:p>
      <w:r>
        <w:rPr>
          <w:b w:val="0"/>
          <w:i w:val="0"/>
        </w:rPr>
        <w:t>XM S.A. E.S.P. (s.f.). Históricos de demanda. https://www.xm.com.co/consumo/historicos-de-demanda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