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Laboratorio Complementario E</w:t>
      </w:r>
    </w:p>
    <w:p>
      <w:pPr>
        <w:spacing w:after="80"/>
      </w:pPr>
      <w:r>
        <w:rPr>
          <w:b/>
          <w:bCs/>
          <w:color w:val="1F3864"/>
          <w:sz w:val="30"/>
          <w:szCs w:val="30"/>
        </w:rPr>
        <w:t xml:space="preserve">SSRF (Server-Side Request Forgery)</w:t>
      </w:r>
    </w:p>
    <w:p>
      <w:pPr>
        <w:spacing w:after="200"/>
      </w:pPr>
      <w:r>
        <w:rPr>
          <w:i/>
          <w:iCs/>
          <w:color w:val="595959"/>
          <w:sz w:val="22"/>
          <w:szCs w:val="22"/>
        </w:rPr>
        <w:t xml:space="preserve">Anexo complementario — Sesión 6 (Burp Suite)</w:t>
      </w:r>
    </w:p>
    <w:p>
      <w:pPr>
        <w:spacing w:after="140"/>
      </w:pPr>
      <w:r>
        <w:rPr>
          <w:i/>
          <w:iCs/>
          <w:color w:val="595959"/>
          <w:sz w:val="18"/>
          <w:szCs w:val="18"/>
        </w:rPr>
        <w:t xml:space="preserve">Capacitación 40 horas — Renovación del sistema de análisis de vulnerabilidades — Contrato 035 CENAC Telemática 2026</w:t>
      </w:r>
    </w:p>
    <w:p>
      <w:pPr>
        <w:spacing w:after="100"/>
      </w:pPr>
    </w:p>
    <w:p>
      <w:pPr>
        <w:spacing w:after="260"/>
      </w:pPr>
      <w:r>
        <w:rPr>
          <w:b/>
          <w:bCs/>
        </w:rPr>
        <w:t xml:space="preserve">Nombre del participante:  </w:t>
      </w:r>
      <w:r>
        <w:t xml:space="preserve">_______________________________________________     </w:t>
      </w:r>
      <w:r>
        <w:rPr>
          <w:b/>
          <w:bCs/>
        </w:rPr>
        <w:t xml:space="preserve">Fecha:  </w:t>
      </w:r>
      <w:r>
        <w:t xml:space="preserve">______________</w:t>
      </w:r>
    </w:p>
    <w:p>
      <w:pPr>
        <w:pStyle w:val="Heading2"/>
        <w:spacing w:after="140" w:before="260"/>
      </w:pPr>
      <w:r>
        <w:t xml:space="preserve">Antes de empezar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DEDED" w:val="clear"/>
            <w:tcMar>
              <w:top w:type="dxa" w:w="100"/>
              <w:left w:type="dxa" w:w="120"/>
              <w:bottom w:type="dxa" w:w="100"/>
              <w:right w:type="dxa" w:w="120"/>
            </w:tcMar>
            <w:vAlign w:val="top"/>
          </w:tcPr>
          <w:p>
            <w:r>
              <w:rPr>
                <w:b/>
                <w:bCs/>
                <w:sz w:val="20"/>
                <w:szCs w:val="20"/>
              </w:rPr>
              <w:t xml:space="preserve">Duración estimada</w:t>
            </w:r>
          </w:p>
        </w:tc>
        <w:tc>
          <w:tcPr>
            <w:tcW w:type="dxa" w:w="6950"/>
            <w:tcMar>
              <w:top w:type="dxa" w:w="100"/>
              <w:left w:type="dxa" w:w="120"/>
              <w:bottom w:type="dxa" w:w="100"/>
              <w:right w:type="dxa" w:w="120"/>
            </w:tcMar>
            <w:vAlign w:val="top"/>
          </w:tcPr>
          <w:p>
            <w:r>
              <w:rPr>
                <w:sz w:val="20"/>
                <w:szCs w:val="20"/>
              </w:rPr>
              <w:t xml:space="preserve">45-60 minutos.</w:t>
            </w:r>
          </w:p>
        </w:tc>
      </w:tr>
      <w:tr>
        <w:tc>
          <w:tcPr>
            <w:tcW w:type="dxa" w:w="2400"/>
            <w:shd w:fill="EDEDED" w:val="clear"/>
            <w:tcMar>
              <w:top w:type="dxa" w:w="100"/>
              <w:left w:type="dxa" w:w="120"/>
              <w:bottom w:type="dxa" w:w="100"/>
              <w:right w:type="dxa" w:w="120"/>
            </w:tcMar>
            <w:vAlign w:val="top"/>
          </w:tcPr>
          <w:p>
            <w:r>
              <w:rPr>
                <w:b/>
                <w:bCs/>
                <w:sz w:val="20"/>
                <w:szCs w:val="20"/>
              </w:rPr>
              <w:t xml:space="preserve">Objetivo</w:t>
            </w:r>
          </w:p>
        </w:tc>
        <w:tc>
          <w:tcPr>
            <w:tcW w:type="dxa" w:w="6950"/>
            <w:tcMar>
              <w:top w:type="dxa" w:w="100"/>
              <w:left w:type="dxa" w:w="120"/>
              <w:bottom w:type="dxa" w:w="100"/>
              <w:right w:type="dxa" w:w="120"/>
            </w:tcMar>
            <w:vAlign w:val="top"/>
          </w:tcPr>
          <w:p>
            <w:r>
              <w:rPr>
                <w:sz w:val="20"/>
                <w:szCs w:val="20"/>
              </w:rPr>
              <w:t xml:space="preserve">Reconocer, mediante prueba controlada, que una función que "solo muestra una imagen desde una URL" en realidad hace que el SERVIDOR (no tu navegador) realice una solicitud de red hacia esa URL — y por qué eso es riesgoso si la URL no se restringe con una lista de permitidos (allow-list).</w:t>
            </w:r>
          </w:p>
        </w:tc>
      </w:tr>
      <w:tr>
        <w:tc>
          <w:tcPr>
            <w:tcW w:type="dxa" w:w="2400"/>
            <w:shd w:fill="EDEDED" w:val="clear"/>
            <w:tcMar>
              <w:top w:type="dxa" w:w="100"/>
              <w:left w:type="dxa" w:w="120"/>
              <w:bottom w:type="dxa" w:w="100"/>
              <w:right w:type="dxa" w:w="120"/>
            </w:tcMar>
            <w:vAlign w:val="top"/>
          </w:tcPr>
          <w:p>
            <w:r>
              <w:rPr>
                <w:b/>
                <w:bCs/>
                <w:sz w:val="20"/>
                <w:szCs w:val="20"/>
              </w:rPr>
              <w:t xml:space="preserve">Qué necesitas tener listo</w:t>
            </w:r>
          </w:p>
        </w:tc>
        <w:tc>
          <w:tcPr>
            <w:tcW w:type="dxa" w:w="6950"/>
            <w:tcMar>
              <w:top w:type="dxa" w:w="100"/>
              <w:left w:type="dxa" w:w="120"/>
              <w:bottom w:type="dxa" w:w="100"/>
              <w:right w:type="dxa" w:w="120"/>
            </w:tcMar>
            <w:vAlign w:val="top"/>
          </w:tcPr>
          <w:p>
            <w:r>
              <w:rPr>
                <w:sz w:val="20"/>
                <w:szCs w:val="20"/>
              </w:rPr>
              <w:t xml:space="preserve">Laboratorio 5 (Burp Suite, Sesión 6) entregado; Juice Shop corriendo en 127.0.0.1:3000; Burp Suite configurado como proxy de Firefox con su CA importada (mismos pasos de la Parte A del Laboratorio 5).</w:t>
            </w:r>
          </w:p>
        </w:tc>
      </w:tr>
      <w:tr>
        <w:tc>
          <w:tcPr>
            <w:tcW w:type="dxa" w:w="2400"/>
            <w:shd w:fill="EDEDED" w:val="clear"/>
            <w:tcMar>
              <w:top w:type="dxa" w:w="100"/>
              <w:left w:type="dxa" w:w="120"/>
              <w:bottom w:type="dxa" w:w="100"/>
              <w:right w:type="dxa" w:w="120"/>
            </w:tcMar>
            <w:vAlign w:val="top"/>
          </w:tcPr>
          <w:p>
            <w:r>
              <w:rPr>
                <w:b/>
                <w:bCs/>
                <w:sz w:val="20"/>
                <w:szCs w:val="20"/>
              </w:rPr>
              <w:t xml:space="preserve">Arquitectura del laboratorio</w:t>
            </w:r>
          </w:p>
        </w:tc>
        <w:tc>
          <w:tcPr>
            <w:tcW w:type="dxa" w:w="6950"/>
            <w:tcMar>
              <w:top w:type="dxa" w:w="100"/>
              <w:left w:type="dxa" w:w="120"/>
              <w:bottom w:type="dxa" w:w="100"/>
              <w:right w:type="dxa" w:w="120"/>
            </w:tcMar>
            <w:vAlign w:val="top"/>
          </w:tcPr>
          <w:p>
            <w:r>
              <w:rPr>
                <w:sz w:val="20"/>
                <w:szCs w:val="20"/>
              </w:rPr>
              <w:t xml:space="preserve">Firefox → 127.0.0.1:8080 (Burp Suite) → Juice Shop (127.0.0.1:3000). Punto a inspeccionar en este laboratorio: el campo de URL de imagen de perfil, que Juice Shop usa para descargar del lado del servidor la imagen indicada.</w:t>
            </w:r>
          </w:p>
        </w:tc>
      </w:tr>
      <w:tr>
        <w:tc>
          <w:tcPr>
            <w:tcW w:type="dxa" w:w="2400"/>
            <w:shd w:fill="EDEDED" w:val="clear"/>
            <w:tcMar>
              <w:top w:type="dxa" w:w="100"/>
              <w:left w:type="dxa" w:w="120"/>
              <w:bottom w:type="dxa" w:w="100"/>
              <w:right w:type="dxa" w:w="120"/>
            </w:tcMar>
            <w:vAlign w:val="top"/>
          </w:tcPr>
          <w:p>
            <w:r>
              <w:rPr>
                <w:b/>
                <w:bCs/>
                <w:sz w:val="20"/>
                <w:szCs w:val="20"/>
              </w:rPr>
              <w:t xml:space="preserve">Software que vas a usar</w:t>
            </w:r>
          </w:p>
        </w:tc>
        <w:tc>
          <w:tcPr>
            <w:tcW w:type="dxa" w:w="6950"/>
            <w:tcMar>
              <w:top w:type="dxa" w:w="100"/>
              <w:left w:type="dxa" w:w="120"/>
              <w:bottom w:type="dxa" w:w="100"/>
              <w:right w:type="dxa" w:w="120"/>
            </w:tcMar>
            <w:vAlign w:val="top"/>
          </w:tcPr>
          <w:p>
            <w:r>
              <w:rPr>
                <w:sz w:val="20"/>
                <w:szCs w:val="20"/>
              </w:rPr>
              <w:t xml:space="preserve">Burp Suite Community Edition (Proxy + Repeater), Firefox.</w:t>
            </w:r>
          </w:p>
        </w:tc>
      </w:tr>
    </w:tbl>
    <w:p>
      <w:pPr>
        <w:spacing w:after="120"/>
      </w:pPr>
    </w:p>
    <w:p>
      <w:pPr>
        <w:pBdr>
          <w:left w:val="single" w:color="B0431D" w:sz="18" w:space="8"/>
        </w:pBdr>
        <w:shd w:fill="FCEEEC" w:val="clear"/>
        <w:spacing w:after="180" w:before="100"/>
      </w:pPr>
      <w:r>
        <w:rPr>
          <w:b/>
          <w:bCs/>
          <w:color w:val="8A3315"/>
        </w:rPr>
        <w:t xml:space="preserve">Alcance autorizado: SOLO tu propia instancia local de Juice Shop en 127.0.0.1:3000, la misma que ya usaste en el Laboratorio 1 (Sesión 2) y en el Laboratorio 5 (Sesión 6). Nunca repitas estas técnicas contra un sitio real sin autorización explícita por escrito — es exactamente el mismo principio de MITM/pruebas autorizadas visto en la Sesión 6, aplicado ahora a explotación activa.</w:t>
      </w:r>
    </w:p>
    <w:p>
      <w:pPr>
        <w:pBdr>
          <w:left w:val="single" w:color="0F6674" w:sz="14" w:space="8"/>
        </w:pBdr>
        <w:shd w:fill="F2F2F2" w:val="clear"/>
        <w:spacing w:after="160" w:before="100"/>
      </w:pPr>
      <w:r>
        <w:rPr>
          <w:i/>
          <w:iCs/>
          <w:color w:val="595959"/>
        </w:rPr>
        <w:t xml:space="preserve">Resultado de aprendizaje esperado: explicar la diferencia entre que TU navegador cargue una imagen y que el SERVIDOR la descargue por ti, y por qué esa diferencia es la esencia de un SSRF.</w:t>
      </w:r>
    </w:p>
    <w:p>
      <w:pPr>
        <w:pBdr>
          <w:left w:val="single" w:color="0F6674" w:sz="14" w:space="8"/>
        </w:pBdr>
        <w:shd w:fill="F2F2F2" w:val="clear"/>
        <w:spacing w:after="160" w:before="100"/>
      </w:pPr>
      <w:r>
        <w:rPr>
          <w:i/>
          <w:iCs/>
          <w:color w:val="595959"/>
        </w:rPr>
        <w:t xml:space="preserve">Técnica manual únicamente: Proxy (Intercept / HTTP History) y Repeater, igual que en el Laboratorio 5. No se usa el Scanner automatizado de Burp — el objetivo es que entiendas cada solicitud que modificas, no que una herramienta lo haga por ti.</w:t>
      </w:r>
    </w:p>
    <w:p>
      <w:pPr>
        <w:pBdr>
          <w:left w:val="single" w:color="B0431D" w:sz="18" w:space="8"/>
        </w:pBdr>
        <w:shd w:fill="FCEEEC" w:val="clear"/>
        <w:spacing w:after="180" w:before="100"/>
      </w:pPr>
      <w:r>
        <w:rPr>
          <w:b/>
          <w:bCs/>
          <w:color w:val="8A3315"/>
        </w:rPr>
        <w:t xml:space="preserve">Este ejercicio se limita a apuntar la función a otra ruta del propio servidor local de Juice Shop (127.0.0.1:3000) — nunca apuntes esta función a una dirección de Internet real, ni a una IP de infraestructura en la nube (metadatos), ni a ningún host fuera de tu propia VM.</w:t>
      </w:r>
    </w:p>
    <w:p>
      <w:pPr>
        <w:pStyle w:val="Heading1"/>
        <w:spacing w:after="180" w:before="380"/>
      </w:pPr>
      <w:r>
        <w:t xml:space="preserve">Procedimiento paso a paso</w:t>
      </w:r>
    </w:p>
    <w:p>
      <w:pPr>
        <w:spacing w:after="80" w:before="220"/>
      </w:pPr>
      <w:r>
        <w:rPr>
          <w:b/>
          <w:bCs/>
          <w:color w:val="FFFFFF"/>
          <w:sz w:val="20"/>
          <w:szCs w:val="20"/>
          <w:shd w:fill="1F3864" w:val="clear"/>
        </w:rPr>
        <w:t xml:space="preserve">Paso 1</w:t>
      </w:r>
      <w:r>
        <w:rPr>
          <w:b/>
          <w:bCs/>
          <w:color w:val="1F3864"/>
          <w:sz w:val="22"/>
          <w:szCs w:val="22"/>
        </w:rPr>
        <w:t xml:space="preserve">  —  Ubica la función de imagen de perfil por URL</w:t>
      </w:r>
    </w:p>
    <w:p>
      <w:pPr>
        <w:spacing w:after="100"/>
      </w:pPr>
      <w:r>
        <w:rPr>
          <w:sz w:val="21"/>
          <w:szCs w:val="21"/>
        </w:rPr>
        <w:t xml:space="preserve">Inicia sesión en Juice Shop, ve a tu perfil de usuario y localiza la opción para establecer la imagen de perfil a partir de una URL (en lugar de subir un archivo).</w:t>
      </w:r>
    </w:p>
    <w:p>
      <w:pPr>
        <w:spacing w:after="80" w:before="220"/>
      </w:pPr>
      <w:r>
        <w:rPr>
          <w:b/>
          <w:bCs/>
          <w:color w:val="FFFFFF"/>
          <w:sz w:val="20"/>
          <w:szCs w:val="20"/>
          <w:shd w:fill="1F3864" w:val="clear"/>
        </w:rPr>
        <w:t xml:space="preserve">Paso 2</w:t>
      </w:r>
      <w:r>
        <w:rPr>
          <w:b/>
          <w:bCs/>
          <w:color w:val="1F3864"/>
          <w:sz w:val="22"/>
          <w:szCs w:val="22"/>
        </w:rPr>
        <w:t xml:space="preserve">  —  Prueba primero con una URL de imagen normal</w:t>
      </w:r>
    </w:p>
    <w:p>
      <w:pPr>
        <w:spacing w:after="100"/>
      </w:pPr>
      <w:r>
        <w:rPr>
          <w:sz w:val="21"/>
          <w:szCs w:val="21"/>
        </w:rPr>
        <w:t xml:space="preserve">Ingresa una URL de imagen pública conocida y confirma que la función funciona como se espera (la imagen de perfil cambia).</w:t>
      </w:r>
    </w:p>
    <w:p>
      <w:pPr>
        <w:spacing w:after="120" w:before="20"/>
        <w:ind w:left="260"/>
      </w:pPr>
      <w:r>
        <w:rPr>
          <w:b/>
          <w:bCs/>
          <w:color w:val="0F6674"/>
          <w:sz w:val="20"/>
          <w:szCs w:val="20"/>
        </w:rPr>
        <w:t xml:space="preserve">Qué deberías ver / tener en cuenta:  </w:t>
      </w:r>
      <w:r>
        <w:rPr>
          <w:i/>
          <w:iCs/>
          <w:color w:val="595959"/>
          <w:sz w:val="20"/>
          <w:szCs w:val="20"/>
        </w:rPr>
        <w:t xml:space="preserve">Esto establece tu línea base de comportamiento normal antes de la prueba.</w:t>
      </w:r>
    </w:p>
    <w:p>
      <w:pPr>
        <w:spacing w:after="80" w:before="220"/>
      </w:pPr>
      <w:r>
        <w:rPr>
          <w:b/>
          <w:bCs/>
          <w:color w:val="FFFFFF"/>
          <w:sz w:val="20"/>
          <w:szCs w:val="20"/>
          <w:shd w:fill="1F3864" w:val="clear"/>
        </w:rPr>
        <w:t xml:space="preserve">Paso 3</w:t>
      </w:r>
      <w:r>
        <w:rPr>
          <w:b/>
          <w:bCs/>
          <w:color w:val="1F3864"/>
          <w:sz w:val="22"/>
          <w:szCs w:val="22"/>
        </w:rPr>
        <w:t xml:space="preserve">  —  Intercepta la solicitud que envía la URL</w:t>
      </w:r>
    </w:p>
    <w:p>
      <w:pPr>
        <w:spacing w:after="100"/>
      </w:pPr>
      <w:r>
        <w:rPr>
          <w:sz w:val="21"/>
          <w:szCs w:val="21"/>
        </w:rPr>
        <w:t xml:space="preserve">Con Intercept en ON, repite la acción y observa la solicitud que Juice Shop envía al servidor con el campo de la URL de la imagen.</w:t>
      </w:r>
    </w:p>
    <w:p>
      <w:pPr>
        <w:spacing w:after="120" w:before="20"/>
        <w:ind w:left="260"/>
      </w:pPr>
      <w:r>
        <w:rPr>
          <w:b/>
          <w:bCs/>
          <w:color w:val="0F6674"/>
          <w:sz w:val="20"/>
          <w:szCs w:val="20"/>
        </w:rPr>
        <w:t xml:space="preserve">Qué deberías ver / tener en cuenta:  </w:t>
      </w:r>
      <w:r>
        <w:rPr>
          <w:i/>
          <w:iCs/>
          <w:color w:val="595959"/>
          <w:sz w:val="20"/>
          <w:szCs w:val="20"/>
        </w:rPr>
        <w:t xml:space="preserve">Identifica el nombre exacto del parámetro/campo (por ejemplo, algo como imageUrl o similar según la versión) y envíala a Repeater.</w:t>
      </w:r>
    </w:p>
    <w:p>
      <w:pPr>
        <w:spacing w:after="80" w:before="220"/>
      </w:pPr>
      <w:r>
        <w:rPr>
          <w:b/>
          <w:bCs/>
          <w:color w:val="FFFFFF"/>
          <w:sz w:val="20"/>
          <w:szCs w:val="20"/>
          <w:shd w:fill="1F3864" w:val="clear"/>
        </w:rPr>
        <w:t xml:space="preserve">Paso 4</w:t>
      </w:r>
      <w:r>
        <w:rPr>
          <w:b/>
          <w:bCs/>
          <w:color w:val="1F3864"/>
          <w:sz w:val="22"/>
          <w:szCs w:val="22"/>
        </w:rPr>
        <w:t xml:space="preserve">  —  Redirige la función hacia otra ruta del propio servidor</w:t>
      </w:r>
    </w:p>
    <w:p>
      <w:pPr>
        <w:spacing w:after="60"/>
      </w:pPr>
      <w:r>
        <w:rPr>
          <w:sz w:val="21"/>
          <w:szCs w:val="21"/>
        </w:rPr>
        <w:t xml:space="preserve">En Repeater, reemplaza el valor de la URL por una ruta interna del propio Juice Shop (mismo host, mismo puerto, otra ruta), y observa la respuesta.</w:t>
      </w:r>
    </w:p>
    <w:p>
      <w:pPr>
        <w:shd w:fill="1E1E1E" w:val="clear"/>
        <w:spacing w:after="60" w:before="60"/>
        <w:ind w:left="120" w:right="120"/>
      </w:pPr>
      <w:r>
        <w:rPr>
          <w:rFonts w:ascii="Consolas" w:cs="Consolas" w:eastAsia="Consolas" w:hAnsi="Consolas"/>
          <w:color w:val="D4D4D4"/>
          <w:sz w:val="19"/>
          <w:szCs w:val="19"/>
        </w:rPr>
        <w:t xml:space="preserve">http://localhost:3000/rest/admin/application-version</w:t>
      </w:r>
    </w:p>
    <w:p>
      <w:pPr>
        <w:spacing w:after="120" w:before="20"/>
        <w:ind w:left="260"/>
      </w:pPr>
      <w:r>
        <w:rPr>
          <w:b/>
          <w:bCs/>
          <w:color w:val="0F6674"/>
          <w:sz w:val="20"/>
          <w:szCs w:val="20"/>
        </w:rPr>
        <w:t xml:space="preserve">Qué deberías ver / tener en cuenta:  </w:t>
      </w:r>
      <w:r>
        <w:rPr>
          <w:i/>
          <w:iCs/>
          <w:color w:val="595959"/>
          <w:sz w:val="20"/>
          <w:szCs w:val="20"/>
        </w:rPr>
        <w:t xml:space="preserve">Presta atención a: (a) si la solicitud es aceptada sin validar que la URL apunta a un host distinto al esperado (una imagen), y (b) si el TIEMPO de respuesta o el contenido resultante sugiere que el servidor efectivamente intentó descargar/consultar esa ruta interna en tu nombre.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spacing w:after="100"/>
            </w:pPr>
            <w:r>
              <w:rPr>
                <w:b/>
                <w:bCs/>
                <w:color w:val="1F3864"/>
                <w:sz w:val="20"/>
                <w:szCs w:val="20"/>
              </w:rPr>
              <w:t xml:space="preserve">Anota aquí: qué URL probaste, código de estado, y qué evidencia (contenido, error, tiempo de respuesta) sugiere que el servidor hizo la solicitud por ti:</w:t>
            </w: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p>
            <w:pPr>
              <w:pBdr>
                <w:bottom w:val="single" w:color="BBBBBB" w:sz="4" w:space="1"/>
              </w:pBdr>
              <w:spacing w:after="260"/>
            </w:pPr>
          </w:p>
        </w:tc>
      </w:tr>
    </w:tbl>
    <w:p>
      <w:pPr>
        <w:spacing w:after="80" w:before="220"/>
      </w:pPr>
      <w:r>
        <w:rPr>
          <w:b/>
          <w:bCs/>
          <w:color w:val="FFFFFF"/>
          <w:sz w:val="20"/>
          <w:szCs w:val="20"/>
          <w:shd w:fill="1F3864" w:val="clear"/>
        </w:rPr>
        <w:t xml:space="preserve">Paso 5</w:t>
      </w:r>
      <w:r>
        <w:rPr>
          <w:b/>
          <w:bCs/>
          <w:color w:val="1F3864"/>
          <w:sz w:val="22"/>
          <w:szCs w:val="22"/>
        </w:rPr>
        <w:t xml:space="preserve">  —  Documenta por qué esto importa</w:t>
      </w:r>
    </w:p>
    <w:p>
      <w:pPr>
        <w:spacing w:after="100"/>
      </w:pPr>
      <w:r>
        <w:rPr>
          <w:sz w:val="21"/>
          <w:szCs w:val="21"/>
        </w:rPr>
        <w:t xml:space="preserve">Reflexiona: si esta misma función NO validara el destino, ¿qué tipo de recursos internos (normalmente no accesibles desde fuera) podría alcanzar un atacante usando el servidor como intermediario?</w:t>
      </w:r>
    </w:p>
    <w:p>
      <w:pPr>
        <w:spacing w:after="120" w:before="20"/>
        <w:ind w:left="260"/>
      </w:pPr>
      <w:r>
        <w:rPr>
          <w:b/>
          <w:bCs/>
          <w:color w:val="0F6674"/>
          <w:sz w:val="20"/>
          <w:szCs w:val="20"/>
        </w:rPr>
        <w:t xml:space="preserve">Qué deberías ver / tener en cuenta:  </w:t>
      </w:r>
      <w:r>
        <w:rPr>
          <w:i/>
          <w:iCs/>
          <w:color w:val="595959"/>
          <w:sz w:val="20"/>
          <w:szCs w:val="20"/>
        </w:rPr>
        <w:t xml:space="preserve">Ejemplos típicos en sistemas reales (no en este laboratorio): servicios internos sin autenticación, paneles de administración solo accesibles desde la red interna, o endpoints de metadatos de infraestructura en la nube — de ahí la importancia de una lista de permitidos (allow-list) estricta para funciones que hacen fetch de URLs, en vez de solo bloquear una lista negra.</w:t>
      </w:r>
    </w:p>
    <w:p>
      <w:pPr>
        <w:pStyle w:val="Heading2"/>
        <w:spacing w:after="140" w:before="260"/>
      </w:pPr>
      <w:r>
        <w:t xml:space="preserve">Entregable de este laboratorio</w:t>
      </w:r>
    </w:p>
    <w:p>
      <w:pPr>
        <w:pBdr>
          <w:left w:val="single" w:color="3C7A3C" w:sz="18" w:space="8"/>
        </w:pBdr>
        <w:shd w:fill="EAF1EA" w:val="clear"/>
        <w:spacing w:after="200" w:before="60"/>
      </w:pPr>
      <w:r>
        <w:rPr>
          <w:b/>
          <w:bCs/>
          <w:color w:val="2C5A2C"/>
        </w:rPr>
        <w:t xml:space="preserve">Captura de Repeater con la solicitud redirigida a una ruta interna del propio servidor y su respuesta, más tu explicación en una frase de por qué esta función representa un riesgo de SSRF si no se restringe el destino con una lista de permitidos.</w:t>
      </w:r>
    </w:p>
    <w:p>
      <w:pPr>
        <w:pStyle w:val="Heading2"/>
        <w:spacing w:after="140" w:before="260"/>
      </w:pPr>
      <w:r>
        <w:t xml:space="preserve">Si algo no funciona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shd w:fill="1F3864" w:val="clear"/>
            <w:tcMar>
              <w:top w:type="dxa" w:w="80"/>
              <w:left w:type="dxa" w:w="120"/>
              <w:bottom w:type="dxa" w:w="80"/>
              <w:right w:type="dxa" w:w="120"/>
            </w:tcMar>
          </w:tcPr>
          <w:p>
            <w:r>
              <w:rPr>
                <w:b/>
                <w:bCs/>
                <w:color w:val="FFFFFF"/>
              </w:rPr>
              <w:t xml:space="preserve">Si ves esto…</w:t>
            </w:r>
          </w:p>
        </w:tc>
        <w:tc>
          <w:tcPr>
            <w:tcW w:type="dxa" w:w="4675"/>
            <w:shd w:fill="1F3864" w:val="clear"/>
            <w:tcMar>
              <w:top w:type="dxa" w:w="80"/>
              <w:left w:type="dxa" w:w="120"/>
              <w:bottom w:type="dxa" w:w="80"/>
              <w:right w:type="dxa" w:w="120"/>
            </w:tcMar>
          </w:tcPr>
          <w:p>
            <w:r>
              <w:rPr>
                <w:b/>
                <w:bCs/>
                <w:color w:val="FFFFFF"/>
              </w:rPr>
              <w:t xml:space="preserve">…haz esto</w:t>
            </w:r>
          </w:p>
        </w:tc>
      </w:tr>
      <w:tr>
        <w:tc>
          <w:tcPr>
            <w:tcW w:type="dxa" w:w="4675"/>
            <w:tcMar>
              <w:top w:type="dxa" w:w="80"/>
              <w:left w:type="dxa" w:w="120"/>
              <w:bottom w:type="dxa" w:w="80"/>
              <w:right w:type="dxa" w:w="120"/>
            </w:tcMar>
          </w:tcPr>
          <w:p>
            <w:pPr>
              <w:spacing w:after="0"/>
            </w:pPr>
            <w:r>
              <w:t xml:space="preserve">La función rechaza cualquier URL que no termine en una extensión de imagen (.jpg, .png).</w:t>
            </w:r>
          </w:p>
        </w:tc>
        <w:tc>
          <w:tcPr>
            <w:tcW w:type="dxa" w:w="4675"/>
            <w:tcMar>
              <w:top w:type="dxa" w:w="80"/>
              <w:left w:type="dxa" w:w="120"/>
              <w:bottom w:type="dxa" w:w="80"/>
              <w:right w:type="dxa" w:w="120"/>
            </w:tcMar>
          </w:tcPr>
          <w:p>
            <w:pPr>
              <w:spacing w:after="0"/>
            </w:pPr>
            <w:r>
              <w:t xml:space="preserve">Es un resultado también válido y esperable en muchas versiones: significa que existe algún tipo de validación — documenta exactamente qué patrón fue aceptado y cuál fue rechazado, eso también es evidencia útil.</w:t>
            </w:r>
          </w:p>
        </w:tc>
      </w:tr>
      <w:tr>
        <w:tc>
          <w:tcPr>
            <w:tcW w:type="dxa" w:w="4675"/>
            <w:tcMar>
              <w:top w:type="dxa" w:w="80"/>
              <w:left w:type="dxa" w:w="120"/>
              <w:bottom w:type="dxa" w:w="80"/>
              <w:right w:type="dxa" w:w="120"/>
            </w:tcMar>
          </w:tcPr>
          <w:p>
            <w:pPr>
              <w:spacing w:after="0"/>
            </w:pPr>
            <w:r>
              <w:t xml:space="preserve">No ves ninguna diferencia entre apuntar a una imagen real y a la ruta interna.</w:t>
            </w:r>
          </w:p>
        </w:tc>
        <w:tc>
          <w:tcPr>
            <w:tcW w:type="dxa" w:w="4675"/>
            <w:tcMar>
              <w:top w:type="dxa" w:w="80"/>
              <w:left w:type="dxa" w:w="120"/>
              <w:bottom w:type="dxa" w:w="80"/>
              <w:right w:type="dxa" w:w="120"/>
            </w:tcMar>
          </w:tcPr>
          <w:p>
            <w:pPr>
              <w:spacing w:after="0"/>
            </w:pPr>
            <w:r>
              <w:t xml:space="preserve">Compara con cuidado el tiempo de respuesta y el código de estado de ambos casos; en algunas configuraciones la diferencia es sutil y por eso se documenta con precisión, no se asume.</w:t>
            </w:r>
          </w:p>
        </w:tc>
      </w:tr>
    </w:tbl>
    <w:p>
      <w:pPr>
        <w:spacing w:after="120"/>
      </w:pPr>
    </w:p>
    <w:p>
      <w:pPr>
        <w:pStyle w:val="Heading2"/>
        <w:spacing w:after="140" w:before="260"/>
      </w:pPr>
      <w:r>
        <w:t xml:space="preserve">Preguntas para tu bitácora</w:t>
      </w:r>
    </w:p>
    <w:p>
      <w:pPr>
        <w:spacing w:after="140"/>
      </w:pPr>
      <w:r>
        <w:t xml:space="preserve">Respóndelas con tus propias palabras antes de la socialización; no hay una única respuesta correcta, lo importante es que reflejen lo que observaste.</w:t>
      </w:r>
    </w:p>
    <w:p>
      <w:pPr>
        <w:spacing w:after="60"/>
      </w:pPr>
      <w:r>
        <w:rPr>
          <w:b/>
          <w:bCs/>
        </w:rPr>
        <w:t xml:space="preserve">1. </w:t>
      </w:r>
      <w:r>
        <w:t xml:space="preserve">¿Por qué esta vulnerabilidad se llama "del lado del servidor" (server-side) y no del lado del cliente?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2. </w:t>
      </w:r>
      <w:r>
        <w:t xml:space="preserve">¿Por qué una lista de permitidos (allow-list) de dominios/IP es preferible a una lista negra (blacklist) para esta función?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spacing w:after="60"/>
      </w:pPr>
      <w:r>
        <w:rPr>
          <w:b/>
          <w:bCs/>
        </w:rPr>
        <w:t xml:space="preserve">3. </w:t>
      </w:r>
      <w:r>
        <w:t xml:space="preserve">En un sistema en la nube real, ¿qué tipo de recurso interno sensible mencionó el instructor como ejemplo de riesgo SSRF?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6"/>
              <w:left w:val="single" w:color="CCCCCC" w:sz="6"/>
              <w:bottom w:val="single" w:color="CCCCCC" w:sz="6"/>
              <w:right w:val="single" w:color="CCCCCC" w:sz="6"/>
            </w:tcBorders>
            <w:shd w:fill="FFFFFF" w:val="clear"/>
            <w:tcMar>
              <w:top w:type="dxa" w:w="160"/>
              <w:left w:type="dxa" w:w="180"/>
              <w:bottom w:type="dxa" w:w="160"/>
              <w:right w:type="dxa" w:w="180"/>
            </w:tcMar>
          </w:tcPr>
          <w:p>
            <w:pPr>
              <w:pBdr>
                <w:bottom w:val="single" w:color="BBBBBB" w:sz="4" w:space="1"/>
              </w:pBdr>
              <w:spacing w:after="260"/>
            </w:pPr>
          </w:p>
          <w:p>
            <w:pPr>
              <w:pBdr>
                <w:bottom w:val="single" w:color="BBBBBB" w:sz="4" w:space="1"/>
              </w:pBdr>
              <w:spacing w:after="260"/>
            </w:pPr>
          </w:p>
        </w:tc>
      </w:tr>
    </w:tbl>
    <w:p>
      <w:pPr>
        <w:spacing w:after="100"/>
      </w:pPr>
    </w:p>
    <w:p>
      <w:pPr>
        <w:pStyle w:val="Heading2"/>
        <w:spacing w:after="140" w:before="260"/>
      </w:pPr>
      <w:r>
        <w:t xml:space="preserve">Al terminar</w:t>
      </w:r>
    </w:p>
    <w:p>
      <w:pPr>
        <w:pBdr>
          <w:left w:val="single" w:color="0F6674" w:sz="14" w:space="8"/>
        </w:pBdr>
        <w:shd w:fill="F2F2F2" w:val="clear"/>
        <w:spacing w:after="160" w:before="100"/>
      </w:pPr>
      <w:r>
        <w:rPr>
          <w:i/>
          <w:iCs/>
          <w:color w:val="595959"/>
        </w:rPr>
        <w:t xml:space="preserve">Restaura tu imagen de perfil a un valor normal antes de terminar. No se requiere reinicio de VM.</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6"/>
        <w:szCs w:val="16"/>
      </w:rPr>
      <w:t xml:space="preserve">Anexo Complementario E · SSRF</w:t>
    </w:r>
    <w:r>
      <w:rPr>
        <w:color w:val="595959"/>
        <w:sz w:val="16"/>
        <w:szCs w:val="16"/>
      </w:rPr>
      <w:t xml:space="preserve">	Página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2026-08-20T00:48:25.081Z</dcterms:created>
  <dcterms:modified xsi:type="dcterms:W3CDTF">2026-08-20T00:48:25.081Z</dcterms:modified>
</cp:coreProperties>
</file>

<file path=docProps/custom.xml><?xml version="1.0" encoding="utf-8"?>
<Properties xmlns="http://schemas.openxmlformats.org/officeDocument/2006/custom-properties" xmlns:vt="http://schemas.openxmlformats.org/officeDocument/2006/docPropsVTypes"/>
</file>