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F</w:t>
      </w:r>
    </w:p>
    <w:p>
      <w:pPr>
        <w:spacing w:after="80"/>
      </w:pPr>
      <w:r>
        <w:rPr>
          <w:b/>
          <w:bCs/>
          <w:color w:val="1F3864"/>
          <w:sz w:val="30"/>
          <w:szCs w:val="30"/>
        </w:rPr>
        <w:t xml:space="preserve">Lógica de negocio (Business Logic)</w:t>
      </w:r>
    </w:p>
    <w:p>
      <w:pPr>
        <w:spacing w:after="200"/>
      </w:pPr>
      <w:r>
        <w:rPr>
          <w:i/>
          <w:iCs/>
          <w:color w:val="595959"/>
          <w:sz w:val="22"/>
          <w:szCs w:val="22"/>
        </w:rPr>
        <w:t xml:space="preserve">Anexo complementario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que una aplicación puede estar libre de fallas técnicas clásicas (inyección, XSS) y aun así ser vulnerable porque confía en que el CLIENTE (el navegador) respete reglas que en realidad debe hacer cumplir el SERVIDOR — como el precio de un producto o el orden esperado de un flujo de compra.</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Juice Shop corriendo en 127.0.0.1:3000;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Juice Shop (127.0.0.1:3000). Punto a inspeccionar en este laboratorio: la solicitud que agrega un producto a la canasta y la que confirma el pedido (checkout).</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Juice Shop en 127.0.0.1:3000, la misma que ya usaste en el Laboratorio 1 (Sesión 2) y en el Laboratorio 5 (Sesión 6). Nunca repitas estas técnicas contra un sitio real sin autorización explícita por escrito — es exactamente el mismo principio de MITM/pruebas autorizadas visto en la Sesión 6, aplicado ahora a explotación activa.</w:t>
      </w:r>
    </w:p>
    <w:p>
      <w:pPr>
        <w:pBdr>
          <w:left w:val="single" w:color="0F6674" w:sz="14" w:space="8"/>
        </w:pBdr>
        <w:shd w:fill="F2F2F2" w:val="clear"/>
        <w:spacing w:after="160" w:before="100"/>
      </w:pPr>
      <w:r>
        <w:rPr>
          <w:i/>
          <w:iCs/>
          <w:color w:val="595959"/>
        </w:rPr>
        <w:t xml:space="preserve">Resultado de aprendizaje esperado: explicar por qué la lógica de negocio no se corrige con un filtro de caracteres, sino verificando en el servidor cada supuesto sobre el que se construyó el flujo (precio, cantidad, secuencia de pasos).</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automatizado de Burp — el objetivo es que entiendas cada solicitud que modificas, no que una herramienta lo haga por ti.</w:t>
      </w:r>
    </w:p>
    <w:p>
      <w:pPr>
        <w:pStyle w:val="Heading1"/>
        <w:spacing w:after="180" w:before="380"/>
      </w:pPr>
      <w:r>
        <w:t xml:space="preserve">Procedimiento paso a paso</w:t>
      </w:r>
    </w:p>
    <w:p>
      <w:pPr>
        <w:spacing w:after="80" w:before="220"/>
      </w:pPr>
      <w:r>
        <w:rPr>
          <w:b/>
          <w:bCs/>
          <w:color w:val="FFFFFF"/>
          <w:sz w:val="20"/>
          <w:szCs w:val="20"/>
          <w:shd w:fill="1F3864" w:val="clear"/>
        </w:rPr>
        <w:t xml:space="preserve">Paso 1</w:t>
      </w:r>
      <w:r>
        <w:rPr>
          <w:b/>
          <w:bCs/>
          <w:color w:val="1F3864"/>
          <w:sz w:val="22"/>
          <w:szCs w:val="22"/>
        </w:rPr>
        <w:t xml:space="preserve">  —  Agrega un producto normalmente y observa la solicitud</w:t>
      </w:r>
    </w:p>
    <w:p>
      <w:pPr>
        <w:spacing w:after="100"/>
      </w:pPr>
      <w:r>
        <w:rPr>
          <w:sz w:val="21"/>
          <w:szCs w:val="21"/>
        </w:rPr>
        <w:t xml:space="preserve">Agrega cualquier producto a tu canasta desde el navegador con Intercept en ON, y observa el cuerpo de la solicitud en Burp.</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 POST hacia algo como /api/BasketItems/ con un cuerpo JSON que incluye, entre otros campos, ProductId y quantity.</w:t>
      </w:r>
    </w:p>
    <w:p>
      <w:pPr>
        <w:spacing w:after="80" w:before="220"/>
      </w:pPr>
      <w:r>
        <w:rPr>
          <w:b/>
          <w:bCs/>
          <w:color w:val="FFFFFF"/>
          <w:sz w:val="20"/>
          <w:szCs w:val="20"/>
          <w:shd w:fill="1F3864" w:val="clear"/>
        </w:rPr>
        <w:t xml:space="preserve">Paso 2</w:t>
      </w:r>
      <w:r>
        <w:rPr>
          <w:b/>
          <w:bCs/>
          <w:color w:val="1F3864"/>
          <w:sz w:val="22"/>
          <w:szCs w:val="22"/>
        </w:rPr>
        <w:t xml:space="preserve">  —  Envía la solicitud a Repeater</w:t>
      </w:r>
    </w:p>
    <w:p>
      <w:pPr>
        <w:spacing w:after="100"/>
      </w:pPr>
      <w:r>
        <w:rPr>
          <w:sz w:val="21"/>
          <w:szCs w:val="21"/>
        </w:rPr>
        <w:t xml:space="preserve">Clic derecho → Send to Repeater.</w:t>
      </w:r>
    </w:p>
    <w:p>
      <w:pPr>
        <w:spacing w:after="80" w:before="220"/>
      </w:pPr>
      <w:r>
        <w:rPr>
          <w:b/>
          <w:bCs/>
          <w:color w:val="FFFFFF"/>
          <w:sz w:val="20"/>
          <w:szCs w:val="20"/>
          <w:shd w:fill="1F3864" w:val="clear"/>
        </w:rPr>
        <w:t xml:space="preserve">Paso 3</w:t>
      </w:r>
      <w:r>
        <w:rPr>
          <w:b/>
          <w:bCs/>
          <w:color w:val="1F3864"/>
          <w:sz w:val="22"/>
          <w:szCs w:val="22"/>
        </w:rPr>
        <w:t xml:space="preserve">  —  Prueba una cantidad fuera de lo esperado</w:t>
      </w:r>
    </w:p>
    <w:p>
      <w:pPr>
        <w:spacing w:after="60"/>
      </w:pPr>
      <w:r>
        <w:rPr>
          <w:sz w:val="21"/>
          <w:szCs w:val="21"/>
        </w:rPr>
        <w:t xml:space="preserve">En Repeater, cambia el valor de quantity a un número inusualmente alto o a un valor negativo, y reenvía.</w:t>
      </w:r>
    </w:p>
    <w:p>
      <w:pPr>
        <w:shd w:fill="1E1E1E" w:val="clear"/>
        <w:spacing w:after="60" w:before="60"/>
        <w:ind w:left="120" w:right="120"/>
      </w:pPr>
      <w:r>
        <w:rPr>
          <w:rFonts w:ascii="Consolas" w:cs="Consolas" w:eastAsia="Consolas" w:hAnsi="Consolas"/>
          <w:color w:val="D4D4D4"/>
          <w:sz w:val="19"/>
          <w:szCs w:val="19"/>
        </w:rPr>
        <w:t xml:space="preserve">"quantity": -5</w:t>
      </w:r>
    </w:p>
    <w:p>
      <w:pPr>
        <w:spacing w:after="120" w:before="20"/>
        <w:ind w:left="260"/>
      </w:pPr>
      <w:r>
        <w:rPr>
          <w:b/>
          <w:bCs/>
          <w:color w:val="0F6674"/>
          <w:sz w:val="20"/>
          <w:szCs w:val="20"/>
        </w:rPr>
        <w:t xml:space="preserve">Qué deberías ver / tener en cuenta:  </w:t>
      </w:r>
      <w:r>
        <w:rPr>
          <w:i/>
          <w:iCs/>
          <w:color w:val="595959"/>
          <w:sz w:val="20"/>
          <w:szCs w:val="20"/>
        </w:rPr>
        <w:t xml:space="preserve">Observa si el servidor acepta el valor tal cual (código 200/201) o lo rechaza (400) — un servidor que confía ciegamente en el número enviado por el cliente, sin validar un rango razonable, es la esencia de esta categoría de falla.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qué cantidad probaste y qué respondió el servidor (código y, si aceptó, cómo cambió el total de la canasta):</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4</w:t>
      </w:r>
      <w:r>
        <w:rPr>
          <w:b/>
          <w:bCs/>
          <w:color w:val="1F3864"/>
          <w:sz w:val="22"/>
          <w:szCs w:val="22"/>
        </w:rPr>
        <w:t xml:space="preserve">  —  Revisa cómo se calcula el total en el checkout</w:t>
      </w:r>
    </w:p>
    <w:p>
      <w:pPr>
        <w:spacing w:after="100"/>
      </w:pPr>
      <w:r>
        <w:rPr>
          <w:sz w:val="21"/>
          <w:szCs w:val="21"/>
        </w:rPr>
        <w:t xml:space="preserve">Ve al resumen de tu canasta/checkout en el navegador y observa, en HTTP History, qué solicitud trae el total a pagar.</w:t>
      </w:r>
    </w:p>
    <w:p>
      <w:pPr>
        <w:spacing w:after="120" w:before="20"/>
        <w:ind w:left="260"/>
      </w:pPr>
      <w:r>
        <w:rPr>
          <w:b/>
          <w:bCs/>
          <w:color w:val="0F6674"/>
          <w:sz w:val="20"/>
          <w:szCs w:val="20"/>
        </w:rPr>
        <w:t xml:space="preserve">Qué deberías ver / tener en cuenta:  </w:t>
      </w:r>
      <w:r>
        <w:rPr>
          <w:i/>
          <w:iCs/>
          <w:color w:val="595959"/>
          <w:sz w:val="20"/>
          <w:szCs w:val="20"/>
        </w:rPr>
        <w:t xml:space="preserve">Identifica si el total llega ya calculado desde el servidor (más seguro) o si en algún punto del flujo el CLIENTE es el que envía un total o un precio unitario al servidor.</w:t>
      </w:r>
    </w:p>
    <w:p>
      <w:pPr>
        <w:spacing w:after="80" w:before="220"/>
      </w:pPr>
      <w:r>
        <w:rPr>
          <w:b/>
          <w:bCs/>
          <w:color w:val="FFFFFF"/>
          <w:sz w:val="20"/>
          <w:szCs w:val="20"/>
          <w:shd w:fill="1F3864" w:val="clear"/>
        </w:rPr>
        <w:t xml:space="preserve">Paso 5</w:t>
      </w:r>
      <w:r>
        <w:rPr>
          <w:b/>
          <w:bCs/>
          <w:color w:val="1F3864"/>
          <w:sz w:val="22"/>
          <w:szCs w:val="22"/>
        </w:rPr>
        <w:t xml:space="preserve">  —  Si encuentras un campo de precio en una solicitud del cliente al servidor, pruébalo en Repeater</w:t>
      </w:r>
    </w:p>
    <w:p>
      <w:pPr>
        <w:spacing w:after="100"/>
      </w:pPr>
      <w:r>
        <w:rPr>
          <w:sz w:val="21"/>
          <w:szCs w:val="21"/>
        </w:rPr>
        <w:t xml:space="preserve">Si identificaste una solicitud donde el precio unitario u otro valor monetario viaja DESDE el navegador HACIA el servidor (no solo del servidor hacia el navegador), envíala a Repeater y prueba modificar ese valor.</w:t>
      </w:r>
    </w:p>
    <w:p>
      <w:pPr>
        <w:spacing w:after="120" w:before="20"/>
        <w:ind w:left="260"/>
      </w:pPr>
      <w:r>
        <w:rPr>
          <w:b/>
          <w:bCs/>
          <w:color w:val="0F6674"/>
          <w:sz w:val="20"/>
          <w:szCs w:val="20"/>
        </w:rPr>
        <w:t xml:space="preserve">Qué deberías ver / tener en cuenta:  </w:t>
      </w:r>
      <w:r>
        <w:rPr>
          <w:i/>
          <w:iCs/>
          <w:color w:val="595959"/>
          <w:sz w:val="20"/>
          <w:szCs w:val="20"/>
        </w:rPr>
        <w:t xml:space="preserve">Si el servidor recalcula el total de forma independiente a partir del ID del producto (consultando su propio precio de catálogo), este vector específico no aplica en esa ruta — documenta ese resultado como algo positivo, es una defensa correcta.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qué encontraste: ¿el servidor confía en un valor monetario enviado por el cliente, o siempre recalcula a partir de su propio catálogo?</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la prueba de cantidad fuera de rango (payload y respuesta del servidor) y tu conclusión documentada sobre si el cálculo del total del pedido depende o no de un valor enviado por el cliente, con tu explicación en una frase de por qué esta categoría de falla no se detecta con un escáner automatizado tradicional.</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El servidor rechaza la cantidad negativa con un código 400.</w:t>
            </w:r>
          </w:p>
        </w:tc>
        <w:tc>
          <w:tcPr>
            <w:tcW w:type="dxa" w:w="4675"/>
            <w:tcMar>
              <w:top w:type="dxa" w:w="80"/>
              <w:left w:type="dxa" w:w="120"/>
              <w:bottom w:type="dxa" w:w="80"/>
              <w:right w:type="dxa" w:w="120"/>
            </w:tcMar>
          </w:tcPr>
          <w:p>
            <w:pPr>
              <w:spacing w:after="0"/>
            </w:pPr>
            <w:r>
              <w:t xml:space="preserve">Es un resultado válido y esperable: documenta el rechazo como evidencia de que, para ESE campo específico, el servidor sí valida — sigue con el paso 4 para revisar el cálculo del total.</w:t>
            </w:r>
          </w:p>
        </w:tc>
      </w:tr>
      <w:tr>
        <w:tc>
          <w:tcPr>
            <w:tcW w:type="dxa" w:w="4675"/>
            <w:tcMar>
              <w:top w:type="dxa" w:w="80"/>
              <w:left w:type="dxa" w:w="120"/>
              <w:bottom w:type="dxa" w:w="80"/>
              <w:right w:type="dxa" w:w="120"/>
            </w:tcMar>
          </w:tcPr>
          <w:p>
            <w:pPr>
              <w:spacing w:after="0"/>
            </w:pPr>
            <w:r>
              <w:t xml:space="preserve">No encuentras ninguna solicitud donde el precio viaje del cliente hacia el servidor.</w:t>
            </w:r>
          </w:p>
        </w:tc>
        <w:tc>
          <w:tcPr>
            <w:tcW w:type="dxa" w:w="4675"/>
            <w:tcMar>
              <w:top w:type="dxa" w:w="80"/>
              <w:left w:type="dxa" w:w="120"/>
              <w:bottom w:type="dxa" w:w="80"/>
              <w:right w:type="dxa" w:w="120"/>
            </w:tcMar>
          </w:tcPr>
          <w:p>
            <w:pPr>
              <w:spacing w:after="0"/>
            </w:pPr>
            <w:r>
              <w:t xml:space="preserve">Es un hallazgo legítimo: significa que, en esta ruta del flujo, el servidor calcula el total de forma independiente — anótalo igual en tu entregable, con la solicitud que lo evidencia.</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esta categoría de falla se llama "de lógica de negocio" y no un error técnico clásico?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¿Por qué un escáner automatizado tiene más dificultad para detectar este tipo de falla que una inyección SQL clásica?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fueras a auditar un flujo de pago real, ¿qué otros supuestos (además de cantidad y precio) verificarías que el servidor haga cumplir?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Vacía tu canasta de prueba antes de terminar. No se requiere reinicio de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F · Lógica de negocio</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2026-08-20T00:48:25.103Z</dcterms:created>
  <dcterms:modified xsi:type="dcterms:W3CDTF">2026-08-20T00:48:25.103Z</dcterms:modified>
</cp:coreProperties>
</file>

<file path=docProps/custom.xml><?xml version="1.0" encoding="utf-8"?>
<Properties xmlns="http://schemas.openxmlformats.org/officeDocument/2006/custom-properties" xmlns:vt="http://schemas.openxmlformats.org/officeDocument/2006/docPropsVTypes"/>
</file>