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Laboratorio 3</w:t>
      </w:r>
    </w:p>
    <w:p>
      <w:pPr>
        <w:spacing w:after="80"/>
      </w:pPr>
      <w:r>
        <w:rPr>
          <w:b/>
          <w:bCs/>
          <w:color w:val="1F3864"/>
          <w:sz w:val="30"/>
          <w:szCs w:val="30"/>
        </w:rPr>
        <w:t xml:space="preserve">Análisis de subdominios</w:t>
      </w:r>
    </w:p>
    <w:p>
      <w:pPr>
        <w:spacing w:after="200"/>
      </w:pPr>
      <w:r>
        <w:rPr>
          <w:i/>
          <w:iCs/>
          <w:color w:val="595959"/>
          <w:sz w:val="22"/>
          <w:szCs w:val="22"/>
        </w:rPr>
        <w:t xml:space="preserve">Sesión 4 — Subdominios: organización y validación responsable</w:t>
      </w:r>
    </w:p>
    <w:p>
      <w:pPr>
        <w:spacing w:after="140"/>
      </w:pPr>
      <w:r>
        <w:rPr>
          <w:i/>
          <w:iCs/>
          <w:color w:val="595959"/>
          <w:sz w:val="18"/>
          <w:szCs w:val="18"/>
        </w:rPr>
        <w:t xml:space="preserve">Capacitación 40 horas — Renovación del sistema de análisis de vulnerabilidades — Contrato 035 CENAC Telemática 2026</w:t>
      </w:r>
    </w:p>
    <w:p>
      <w:pPr>
        <w:spacing w:after="100"/>
      </w:pPr>
    </w:p>
    <w:p>
      <w:pPr>
        <w:spacing w:after="260"/>
      </w:pPr>
      <w:r>
        <w:rPr>
          <w:b/>
          <w:bCs/>
        </w:rPr>
        <w:t xml:space="preserve">Nombre del participante:  </w:t>
      </w:r>
      <w:r>
        <w:t xml:space="preserve">_______________________________________________     </w:t>
      </w:r>
      <w:r>
        <w:rPr>
          <w:b/>
          <w:bCs/>
        </w:rPr>
        <w:t xml:space="preserve">Fecha:  </w:t>
      </w:r>
      <w:r>
        <w:t xml:space="preserve">______________</w:t>
      </w:r>
    </w:p>
    <w:p>
      <w:pPr>
        <w:pStyle w:val="Heading2"/>
        <w:spacing w:after="140" w:before="260"/>
      </w:pPr>
      <w:r>
        <w:t xml:space="preserve">Antes de empezar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Duración estimada</w:t>
            </w:r>
          </w:p>
        </w:tc>
        <w:tc>
          <w:tcPr>
            <w:tcW w:type="dxa" w:w="695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100–110 minutos (incluye la Evaluación Formativa 1 — EF1).</w:t>
            </w:r>
          </w:p>
        </w:tc>
      </w:tr>
      <w:tr>
        <w:tc>
          <w:tcPr>
            <w:tcW w:type="dxa" w:w="24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Objetivo</w:t>
            </w:r>
          </w:p>
        </w:tc>
        <w:tc>
          <w:tcPr>
            <w:tcW w:type="dxa" w:w="695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Ejecutar el ciclo completo descubrimiento → validación → deduplicación → clasificación → priorización sobre el dataset controlado de laboratorio.</w:t>
            </w:r>
          </w:p>
        </w:tc>
      </w:tr>
      <w:tr>
        <w:tc>
          <w:tcPr>
            <w:tcW w:type="dxa" w:w="24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Qué necesitas tener listo</w:t>
            </w:r>
          </w:p>
        </w:tc>
        <w:tc>
          <w:tcPr>
            <w:tcW w:type="dxa" w:w="695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Laboratorio 2 (OSINT) entregado; bloque conceptual completo de la Sesión 4; el instructor te entregará el archivo candidatos.txt.</w:t>
            </w:r>
          </w:p>
        </w:tc>
      </w:tr>
      <w:tr>
        <w:tc>
          <w:tcPr>
            <w:tcW w:type="dxa" w:w="24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Arquitectura del laboratorio</w:t>
            </w:r>
          </w:p>
        </w:tc>
        <w:tc>
          <w:tcPr>
            <w:tcW w:type="dxa" w:w="695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Tu VM Kali con el dataset de candidatos ya distribuido (candidatos.txt) y el servidor BIND local (zona laboratorio-bacci.test, configurado en la Sesión 1) activo, para que los nombres marcados como "deben resolver" efectivamente lo hagan — este laboratorio no usa entradas en /etc/hosts, precisamente porque /etc/hosts no puede expresar el registro comodín (wildcard) que el ejercicio te pide detectar.</w:t>
            </w:r>
          </w:p>
        </w:tc>
      </w:tr>
      <w:tr>
        <w:tc>
          <w:tcPr>
            <w:tcW w:type="dxa" w:w="2400"/>
            <w:shd w:fill="EDED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Software que vas a usar</w:t>
            </w:r>
          </w:p>
        </w:tc>
        <w:tc>
          <w:tcPr>
            <w:tcW w:type="dxa" w:w="6950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sz w:val="20"/>
                <w:szCs w:val="20"/>
              </w:rPr>
              <w:t xml:space="preserve">dig, sort, sed, tr. (Opcional: Amass/Subfinder en modo pasivo, solo como correlación adicional, no como sustituto del ejercicio manual.)</w:t>
            </w:r>
          </w:p>
        </w:tc>
      </w:tr>
    </w:tbl>
    <w:p>
      <w:pPr>
        <w:spacing w:after="120"/>
      </w:pPr>
    </w:p>
    <w:p>
      <w:pPr>
        <w:pStyle w:val="Heading1"/>
        <w:spacing w:after="180" w:before="380"/>
      </w:pPr>
      <w:r>
        <w:t xml:space="preserve">Procedimiento paso a paso</w:t>
      </w:r>
    </w:p>
    <w:p>
      <w:pPr>
        <w:spacing w:after="80" w:before="220"/>
      </w:pPr>
      <w:r>
        <w:rPr>
          <w:b/>
          <w:bCs/>
          <w:color w:val="FFFFFF"/>
          <w:sz w:val="20"/>
          <w:szCs w:val="20"/>
          <w:shd w:fill="1F3864" w:val="clear"/>
        </w:rPr>
        <w:t xml:space="preserve">Paso 1</w:t>
      </w:r>
      <w:r>
        <w:rPr>
          <w:b/>
          <w:bCs/>
          <w:color w:val="1F3864"/>
          <w:sz w:val="22"/>
          <w:szCs w:val="22"/>
        </w:rPr>
        <w:t xml:space="preserve">  —  Normaliza el listado</w:t>
      </w:r>
    </w:p>
    <w:p>
      <w:pPr>
        <w:spacing w:after="60"/>
      </w:pPr>
      <w:r>
        <w:rPr>
          <w:sz w:val="21"/>
          <w:szCs w:val="21"/>
        </w:rPr>
        <w:t xml:space="preserve">Convierte todo a minúsculas y elimina puntos finales sobrantes.</w:t>
      </w:r>
    </w:p>
    <w:p>
      <w:pPr>
        <w:shd w:fill="1E1E1E" w:val="clear"/>
        <w:spacing w:after="60" w:before="60"/>
        <w:ind w:left="120" w:right="12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tr 'A-Z' 'a-z' &lt; candidatos.txt | sed 's/\.$//' &gt; normalizado.txt</w:t>
      </w:r>
    </w:p>
    <w:p>
      <w:pPr>
        <w:spacing w:after="80" w:before="220"/>
      </w:pPr>
      <w:r>
        <w:rPr>
          <w:b/>
          <w:bCs/>
          <w:color w:val="FFFFFF"/>
          <w:sz w:val="20"/>
          <w:szCs w:val="20"/>
          <w:shd w:fill="1F3864" w:val="clear"/>
        </w:rPr>
        <w:t xml:space="preserve">Paso 2</w:t>
      </w:r>
      <w:r>
        <w:rPr>
          <w:b/>
          <w:bCs/>
          <w:color w:val="1F3864"/>
          <w:sz w:val="22"/>
          <w:szCs w:val="22"/>
        </w:rPr>
        <w:t xml:space="preserve">  —  Deduplica</w:t>
      </w:r>
    </w:p>
    <w:p>
      <w:pPr>
        <w:spacing w:after="60"/>
      </w:pPr>
      <w:r>
        <w:rPr>
          <w:sz w:val="21"/>
          <w:szCs w:val="21"/>
        </w:rPr>
        <w:t xml:space="preserve">Elimina entradas repetidas ya normalizadas.</w:t>
      </w:r>
    </w:p>
    <w:p>
      <w:pPr>
        <w:shd w:fill="1E1E1E" w:val="clear"/>
        <w:spacing w:after="60" w:before="60"/>
        <w:ind w:left="120" w:right="12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sort -u normalizado.txt &gt; unico.txt</w:t>
      </w:r>
    </w:p>
    <w:p>
      <w:pPr>
        <w:spacing w:after="80" w:before="220"/>
      </w:pPr>
      <w:r>
        <w:rPr>
          <w:b/>
          <w:bCs/>
          <w:color w:val="FFFFFF"/>
          <w:sz w:val="20"/>
          <w:szCs w:val="20"/>
          <w:shd w:fill="1F3864" w:val="clear"/>
        </w:rPr>
        <w:t xml:space="preserve">Paso 3</w:t>
      </w:r>
      <w:r>
        <w:rPr>
          <w:b/>
          <w:bCs/>
          <w:color w:val="1F3864"/>
          <w:sz w:val="22"/>
          <w:szCs w:val="22"/>
        </w:rPr>
        <w:t xml:space="preserve">  —  Resuelve cada candidato</w:t>
      </w:r>
    </w:p>
    <w:p>
      <w:pPr>
        <w:spacing w:after="60"/>
      </w:pPr>
      <w:r>
        <w:rPr>
          <w:sz w:val="21"/>
          <w:szCs w:val="21"/>
        </w:rPr>
        <w:t xml:space="preserve">Para cada entrada, consulta DNS y registra si resuelve, no resuelve, o es un CNAME.</w:t>
      </w:r>
    </w:p>
    <w:p>
      <w:pPr>
        <w:shd w:fill="1E1E1E" w:val="clear"/>
        <w:spacing w:after="60" w:before="60"/>
        <w:ind w:left="120" w:right="12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while read n; do echo -n "$n: "; dig +short "$n"; done &lt; unico.txt</w:t>
      </w:r>
    </w:p>
    <w:p>
      <w:pPr>
        <w:spacing w:after="120" w:before="20"/>
        <w:ind w:left="260"/>
      </w:pPr>
      <w:r>
        <w:rPr>
          <w:b/>
          <w:bCs/>
          <w:color w:val="0F6674"/>
          <w:sz w:val="20"/>
          <w:szCs w:val="20"/>
        </w:rPr>
        <w:t xml:space="preserve">Qué deberías ver / tener en cuenta:  </w:t>
      </w:r>
      <w:r>
        <w:rPr>
          <w:i/>
          <w:iCs/>
          <w:color w:val="595959"/>
          <w:sz w:val="20"/>
          <w:szCs w:val="20"/>
        </w:rPr>
        <w:t xml:space="preserve">Ve registrando en tu tabla: subdominio, resuelve (sí/no), tipo de registro (A/CNAME).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Registra aquí (o en tu tabla aparte) las entradas que NO resolvieron:</w:t>
            </w:r>
          </w:p>
          <w:p>
            <w:pPr>
              <w:pBdr>
                <w:bottom w:val="single" w:color="BBBBBB" w:sz="4" w:space="1"/>
              </w:pBdr>
              <w:spacing w:after="260"/>
            </w:pPr>
          </w:p>
          <w:p>
            <w:pPr>
              <w:pBdr>
                <w:bottom w:val="single" w:color="BBBBBB" w:sz="4" w:space="1"/>
              </w:pBdr>
              <w:spacing w:after="260"/>
            </w:pPr>
          </w:p>
          <w:p>
            <w:pPr>
              <w:pBdr>
                <w:bottom w:val="single" w:color="BBBBBB" w:sz="4" w:space="1"/>
              </w:pBdr>
              <w:spacing w:after="260"/>
            </w:pPr>
          </w:p>
          <w:p>
            <w:pPr>
              <w:pBdr>
                <w:bottom w:val="single" w:color="BBBBBB" w:sz="4" w:space="1"/>
              </w:pBdr>
              <w:spacing w:after="260"/>
            </w:pPr>
          </w:p>
        </w:tc>
      </w:tr>
    </w:tbl>
    <w:p>
      <w:pPr>
        <w:spacing w:after="160"/>
      </w:pPr>
    </w:p>
    <w:p>
      <w:pPr>
        <w:spacing w:after="80" w:before="220"/>
      </w:pPr>
      <w:r>
        <w:rPr>
          <w:b/>
          <w:bCs/>
          <w:color w:val="FFFFFF"/>
          <w:sz w:val="20"/>
          <w:szCs w:val="20"/>
          <w:shd w:fill="1F3864" w:val="clear"/>
        </w:rPr>
        <w:t xml:space="preserve">Paso 4</w:t>
      </w:r>
      <w:r>
        <w:rPr>
          <w:b/>
          <w:bCs/>
          <w:color w:val="1F3864"/>
          <w:sz w:val="22"/>
          <w:szCs w:val="22"/>
        </w:rPr>
        <w:t xml:space="preserve">  —  Detecta el registro comodín (wildcard)</w:t>
      </w:r>
    </w:p>
    <w:p>
      <w:pPr>
        <w:spacing w:after="60"/>
      </w:pPr>
      <w:r>
        <w:rPr>
          <w:sz w:val="21"/>
          <w:szCs w:val="21"/>
        </w:rPr>
        <w:t xml:space="preserve">Prueba un nombre inventado que NO está en el dataset. Si también resuelve, hay un wildcard.</w:t>
      </w:r>
    </w:p>
    <w:p>
      <w:pPr>
        <w:shd w:fill="1E1E1E" w:val="clear"/>
        <w:spacing w:after="60" w:before="60"/>
        <w:ind w:left="120" w:right="120"/>
      </w:pPr>
      <w:r>
        <w:rPr>
          <w:rFonts w:ascii="Consolas" w:cs="Consolas" w:eastAsia="Consolas" w:hAnsi="Consolas"/>
          <w:color w:val="D4D4D4"/>
          <w:sz w:val="19"/>
          <w:szCs w:val="19"/>
        </w:rPr>
        <w:t xml:space="preserve">dig +short nombre-al-azar-no-listado.laboratorio-bacci.test</w:t>
      </w:r>
    </w:p>
    <w:p>
      <w:pPr>
        <w:spacing w:after="120" w:before="20"/>
        <w:ind w:left="260"/>
      </w:pPr>
      <w:r>
        <w:rPr>
          <w:b/>
          <w:bCs/>
          <w:color w:val="0F6674"/>
          <w:sz w:val="20"/>
          <w:szCs w:val="20"/>
        </w:rPr>
        <w:t xml:space="preserve">Qué deberías ver / tener en cuenta:  </w:t>
      </w:r>
      <w:r>
        <w:rPr>
          <w:i/>
          <w:iCs/>
          <w:color w:val="595959"/>
          <w:sz w:val="20"/>
          <w:szCs w:val="20"/>
        </w:rPr>
        <w:t xml:space="preserve">Si el nombre inventado resuelve, todo lo que "resolvía" en el dataset por esa misma razón es un falso positivo — documenta el wildcard como hallazgo, no como dato válido.</w:t>
      </w:r>
    </w:p>
    <w:p>
      <w:pPr>
        <w:spacing w:after="80" w:before="220"/>
      </w:pPr>
      <w:r>
        <w:rPr>
          <w:b/>
          <w:bCs/>
          <w:color w:val="FFFFFF"/>
          <w:sz w:val="20"/>
          <w:szCs w:val="20"/>
          <w:shd w:fill="1F3864" w:val="clear"/>
        </w:rPr>
        <w:t xml:space="preserve">Paso 5</w:t>
      </w:r>
      <w:r>
        <w:rPr>
          <w:b/>
          <w:bCs/>
          <w:color w:val="1F3864"/>
          <w:sz w:val="22"/>
          <w:szCs w:val="22"/>
        </w:rPr>
        <w:t xml:space="preserve">  —  Clasifica cada entrada</w:t>
      </w:r>
    </w:p>
    <w:p>
      <w:pPr>
        <w:spacing w:after="100"/>
      </w:pPr>
      <w:r>
        <w:rPr>
          <w:sz w:val="21"/>
          <w:szCs w:val="21"/>
        </w:rPr>
        <w:t xml:space="preserve">Según el nombre y los metadatos disponibles, clasifica cada subdominio por función aparente.</w:t>
      </w:r>
    </w:p>
    <w:p>
      <w:pPr>
        <w:spacing w:after="120" w:before="20"/>
        <w:ind w:left="260"/>
      </w:pPr>
      <w:r>
        <w:rPr>
          <w:b/>
          <w:bCs/>
          <w:color w:val="0F6674"/>
          <w:sz w:val="20"/>
          <w:szCs w:val="20"/>
        </w:rPr>
        <w:t xml:space="preserve">Qué deberías ver / tener en cuenta:  </w:t>
      </w:r>
      <w:r>
        <w:rPr>
          <w:i/>
          <w:iCs/>
          <w:color w:val="595959"/>
          <w:sz w:val="20"/>
          <w:szCs w:val="20"/>
        </w:rPr>
        <w:t xml:space="preserve">Categorías sugeridas: producción / staging / desarrollo / desconocido.</w:t>
      </w:r>
    </w:p>
    <w:p>
      <w:pPr>
        <w:spacing w:after="80" w:before="220"/>
      </w:pPr>
      <w:r>
        <w:rPr>
          <w:b/>
          <w:bCs/>
          <w:color w:val="FFFFFF"/>
          <w:sz w:val="20"/>
          <w:szCs w:val="20"/>
          <w:shd w:fill="1F3864" w:val="clear"/>
        </w:rPr>
        <w:t xml:space="preserve">Paso 6</w:t>
      </w:r>
      <w:r>
        <w:rPr>
          <w:b/>
          <w:bCs/>
          <w:color w:val="1F3864"/>
          <w:sz w:val="22"/>
          <w:szCs w:val="22"/>
        </w:rPr>
        <w:t xml:space="preserve">  —  Prioriza y construye el inventario final</w:t>
      </w:r>
    </w:p>
    <w:p>
      <w:pPr>
        <w:spacing w:after="100"/>
      </w:pPr>
      <w:r>
        <w:rPr>
          <w:sz w:val="21"/>
          <w:szCs w:val="21"/>
        </w:rPr>
        <w:t xml:space="preserve">Arma la tabla final con todas las columnas requeridas.</w:t>
      </w:r>
    </w:p>
    <w:p>
      <w:pPr>
        <w:spacing w:after="120" w:before="20"/>
        <w:ind w:left="260"/>
      </w:pPr>
      <w:r>
        <w:rPr>
          <w:b/>
          <w:bCs/>
          <w:color w:val="0F6674"/>
          <w:sz w:val="20"/>
          <w:szCs w:val="20"/>
        </w:rPr>
        <w:t xml:space="preserve">Qué deberías ver / tener en cuenta:  </w:t>
      </w:r>
      <w:r>
        <w:rPr>
          <w:i/>
          <w:iCs/>
          <w:color w:val="595959"/>
          <w:sz w:val="20"/>
          <w:szCs w:val="20"/>
        </w:rPr>
        <w:t xml:space="preserve">Columnas: subdominio, fuente, fecha, resuelve, tipo de registro, confianza, prioridad.</w:t>
      </w:r>
    </w:p>
    <w:p>
      <w:pPr>
        <w:spacing w:after="80" w:before="220"/>
      </w:pPr>
      <w:r>
        <w:rPr>
          <w:b/>
          <w:bCs/>
          <w:color w:val="FFFFFF"/>
          <w:sz w:val="20"/>
          <w:szCs w:val="20"/>
          <w:shd w:fill="1F3864" w:val="clear"/>
        </w:rPr>
        <w:t xml:space="preserve">Paso 7</w:t>
      </w:r>
      <w:r>
        <w:rPr>
          <w:b/>
          <w:bCs/>
          <w:color w:val="1F3864"/>
          <w:sz w:val="22"/>
          <w:szCs w:val="22"/>
        </w:rPr>
        <w:t xml:space="preserve">  —  Entrega como Evaluación Formativa 1</w:t>
      </w:r>
    </w:p>
    <w:p>
      <w:pPr>
        <w:spacing w:after="100"/>
      </w:pPr>
      <w:r>
        <w:rPr>
          <w:sz w:val="21"/>
          <w:szCs w:val="21"/>
        </w:rPr>
        <w:t xml:space="preserve">Este inventario es tu EF1 — revísalo antes de entregarlo.</w:t>
      </w:r>
    </w:p>
    <w:p>
      <w:pPr>
        <w:spacing w:after="120" w:before="20"/>
        <w:ind w:left="260"/>
      </w:pPr>
      <w:r>
        <w:rPr>
          <w:b/>
          <w:bCs/>
          <w:color w:val="0F6674"/>
          <w:sz w:val="20"/>
          <w:szCs w:val="20"/>
        </w:rPr>
        <w:t xml:space="preserve">Qué deberías ver / tener en cuenta:  </w:t>
      </w:r>
      <w:r>
        <w:rPr>
          <w:i/>
          <w:iCs/>
          <w:color w:val="595959"/>
          <w:sz w:val="20"/>
          <w:szCs w:val="20"/>
        </w:rPr>
        <w:t xml:space="preserve">Verifica especialmente: el wildcard está documentado como hallazgo (no como entrada válida), y cualquier IP privada encontrada está señalada explícitamente.</w:t>
      </w:r>
    </w:p>
    <w:p>
      <w:pPr>
        <w:pStyle w:val="Heading2"/>
        <w:spacing w:after="140" w:before="260"/>
      </w:pPr>
      <w:r>
        <w:t xml:space="preserve">Entregable de este laboratorio</w:t>
      </w:r>
    </w:p>
    <w:p>
      <w:pPr>
        <w:pBdr>
          <w:left w:val="single" w:color="3C7A3C" w:sz="18" w:space="8"/>
        </w:pBdr>
        <w:shd w:fill="EAF1EA" w:val="clear"/>
        <w:spacing w:after="200" w:before="60"/>
      </w:pPr>
      <w:r>
        <w:rPr>
          <w:b/>
          <w:bCs/>
          <w:color w:val="2C5A2C"/>
        </w:rPr>
        <w:t xml:space="preserve">Inventario final en tabla (subdominio, fuente, fecha, resuelve, tipo de registro, confianza, prioridad) con las ~15-20 entradas clasificadas, el registro comodín identificado y documentado, y al menos un caso de IP privada señalado. Evaluación Formativa 1 (EF1).</w:t>
      </w:r>
    </w:p>
    <w:p>
      <w:pPr>
        <w:pStyle w:val="Heading2"/>
        <w:spacing w:after="140" w:before="260"/>
      </w:pPr>
      <w:r>
        <w:t xml:space="preserve">Si algo no funciona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 ves esto…</w:t>
            </w:r>
          </w:p>
        </w:tc>
        <w:tc>
          <w:tcPr>
            <w:tcW w:type="dxa" w:w="4675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…haz esto</w:t>
            </w:r>
          </w:p>
        </w:tc>
      </w:tr>
      <w:t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No detectaste el wildcard y trataste los falsos positivos como hallazgos reales.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Prueba siempre un nombre aleatorio no listado; si también resuelve, hay wildcard.</w:t>
            </w:r>
          </w:p>
        </w:tc>
      </w:tr>
      <w:t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Duplicados ocultos por diferencias de formato (mayúsculas, punto final).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Normaliza antes de deduplicar (paso 1).</w:t>
            </w:r>
          </w:p>
        </w:tc>
      </w:tr>
    </w:tbl>
    <w:p>
      <w:pPr>
        <w:spacing w:after="120"/>
      </w:pPr>
    </w:p>
    <w:p>
      <w:pPr>
        <w:pStyle w:val="Heading2"/>
        <w:spacing w:after="140" w:before="260"/>
      </w:pPr>
      <w:r>
        <w:t xml:space="preserve">Preguntas para tu bitácora</w:t>
      </w:r>
    </w:p>
    <w:p>
      <w:pPr>
        <w:spacing w:after="140"/>
      </w:pPr>
      <w:r>
        <w:t xml:space="preserve">Respóndelas con tus propias palabras antes de la socialización; no hay una única respuesta correcta, lo importante es que reflejen lo que observaste.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¿Cómo identificaste el registro comodín (wildcard)?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pBdr>
                <w:bottom w:val="single" w:color="BBBBBB" w:sz="4" w:space="1"/>
              </w:pBdr>
              <w:spacing w:after="260"/>
            </w:pPr>
          </w:p>
          <w:p>
            <w:pPr>
              <w:pBdr>
                <w:bottom w:val="single" w:color="BBBBBB" w:sz="4" w:space="1"/>
              </w:pBdr>
              <w:spacing w:after="260"/>
            </w:pPr>
          </w:p>
        </w:tc>
      </w:tr>
    </w:tbl>
    <w:p>
      <w:pPr>
        <w:spacing w:after="100"/>
      </w:pPr>
    </w:p>
    <w:p>
      <w:pPr>
        <w:spacing w:after="60"/>
      </w:pPr>
      <w:r>
        <w:rPr>
          <w:b/>
          <w:bCs/>
        </w:rPr>
        <w:t xml:space="preserve">2. </w:t>
      </w:r>
      <w:r>
        <w:t xml:space="preserve">¿Qué harías con el subdominio que resuelve a una IP privada?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pBdr>
                <w:bottom w:val="single" w:color="BBBBBB" w:sz="4" w:space="1"/>
              </w:pBdr>
              <w:spacing w:after="260"/>
            </w:pPr>
          </w:p>
          <w:p>
            <w:pPr>
              <w:pBdr>
                <w:bottom w:val="single" w:color="BBBBBB" w:sz="4" w:space="1"/>
              </w:pBdr>
              <w:spacing w:after="260"/>
            </w:pPr>
          </w:p>
        </w:tc>
      </w:tr>
    </w:tbl>
    <w:p>
      <w:pPr>
        <w:spacing w:after="100"/>
      </w:pPr>
    </w:p>
    <w:p>
      <w:pPr>
        <w:spacing w:after="60"/>
      </w:pPr>
      <w:r>
        <w:rPr>
          <w:b/>
          <w:bCs/>
        </w:rPr>
        <w:t xml:space="preserve">3. </w:t>
      </w:r>
      <w:r>
        <w:t xml:space="preserve">¿Por qué un subdominio que no resuelve puede seguir siendo un hallazgo relevante?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pBdr>
                <w:bottom w:val="single" w:color="BBBBBB" w:sz="4" w:space="1"/>
              </w:pBdr>
              <w:spacing w:after="260"/>
            </w:pPr>
          </w:p>
          <w:p>
            <w:pPr>
              <w:pBdr>
                <w:bottom w:val="single" w:color="BBBBBB" w:sz="4" w:space="1"/>
              </w:pBdr>
              <w:spacing w:after="260"/>
            </w:pP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t xml:space="preserve">Al terminar</w:t>
      </w:r>
    </w:p>
    <w:p>
      <w:pPr>
        <w:pBdr>
          <w:left w:val="single" w:color="0F6674" w:sz="14" w:space="8"/>
        </w:pBdr>
        <w:shd w:fill="F2F2F2" w:val="clear"/>
        <w:spacing w:after="160" w:before="100"/>
      </w:pPr>
      <w:r>
        <w:rPr>
          <w:i/>
          <w:iCs/>
          <w:color w:val="595959"/>
        </w:rPr>
        <w:t xml:space="preserve">Si añadiste registros propios a la zona BIND (laboratorio-bacci.test) para hacer pruebas adicionales, elimínalos y reinicia el servicio (sudo systemctl restart named) al terminar. No modifiques el dataset original candidatos.txt: la próxima cohorte lo necesita intacto.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95959"/>
        <w:sz w:val="16"/>
        <w:szCs w:val="16"/>
      </w:rPr>
      <w:t xml:space="preserve">Laboratorio 3 · Sesión 4 · Subdominios (EF1)</w:t>
    </w:r>
    <w:r>
      <w:rPr>
        <w:color w:val="595959"/>
        <w:sz w:val="16"/>
        <w:szCs w:val="16"/>
      </w:rPr>
      <w:t xml:space="preserve">	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2026-08-17T20:17:15.615Z</dcterms:created>
  <dcterms:modified xsi:type="dcterms:W3CDTF">2026-08-17T20:17:15.615Z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