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68"/>
        </w:rPr>
        <w:t>TYM MUSIC</w:t>
      </w:r>
    </w:p>
    <w:p>
      <w:pPr>
        <w:jc w:val="center"/>
      </w:pPr>
      <w:r>
        <w:rPr>
          <w:color w:val="2E75B6"/>
          <w:sz w:val="30"/>
        </w:rPr>
        <w:t>Master Brief — Resumen Ejecutivo de Decisiones</w:t>
      </w:r>
    </w:p>
    <w:p>
      <w:pPr>
        <w:jc w:val="center"/>
      </w:pPr>
      <w:r>
        <w:rPr>
          <w:i/>
          <w:color w:val="555555"/>
          <w:sz w:val="20"/>
        </w:rPr>
        <w:t>Documento maestro del proyecto · Junio 2026</w:t>
      </w:r>
    </w:p>
    <w:p>
      <w:r>
        <w:br w:type="page"/>
      </w:r>
    </w:p>
    <w:p>
      <w:pPr>
        <w:pStyle w:val="Heading1"/>
      </w:pPr>
      <w:r>
        <w:t>TYM Music — Master Brief (documento maestro para futuras sesiones)</w:t>
      </w:r>
    </w:p>
    <w:p>
      <w:r>
        <w:rPr>
          <w:b/>
          <w:i/>
          <w:color w:val="555555"/>
          <w:sz w:val="20"/>
        </w:rPr>
        <w:t>Lee esto primero al retomar el proyecto.</w:t>
      </w:r>
      <w:r>
        <w:rPr>
          <w:i/>
          <w:color w:val="555555"/>
          <w:sz w:val="20"/>
        </w:rPr>
        <w:t xml:space="preserve"> Consolida decisiones, estado y contexto. Última actualización: 2026-06-25.</w:t>
      </w:r>
    </w:p>
    <w:p>
      <w:pPr>
        <w:pStyle w:val="Heading2"/>
      </w:pPr>
      <w:r>
        <w:t>Qué es</w:t>
      </w:r>
    </w:p>
    <w:p>
      <w:r>
        <w:t xml:space="preserve">Sistema de </w:t>
      </w:r>
      <w:r>
        <w:rPr>
          <w:b/>
        </w:rPr>
        <w:t>música por demanda</w:t>
      </w:r>
      <w:r>
        <w:t xml:space="preserve"> para establecimientos comerciales en </w:t>
      </w:r>
      <w:r>
        <w:rPr>
          <w:b/>
        </w:rPr>
        <w:t>Colombia</w:t>
      </w:r>
      <w:r>
        <w:t xml:space="preserve">. Los clientes ponen su propia música desde el celular vía </w:t>
      </w:r>
      <w:r>
        <w:rPr>
          <w:b/>
        </w:rPr>
        <w:t>web app sin descargas</w:t>
      </w:r>
      <w:r>
        <w:t xml:space="preserve"> (cero fricción). Cola compartida, control del dueño.</w:t>
      </w:r>
    </w:p>
    <w:p>
      <w:r>
        <w:t xml:space="preserve">Directorio del proyecto: </w:t>
      </w:r>
      <w:r>
        <w:rPr>
          <w:rFonts w:ascii="Consolas" w:hAnsi="Consolas"/>
          <w:sz w:val="19"/>
        </w:rPr>
        <w:t>/Users/jhonytoro/Documents/emprendimiento/tym_music</w:t>
      </w:r>
    </w:p>
    <w:p>
      <w:pPr>
        <w:pStyle w:val="Heading2"/>
      </w:pPr>
      <w:r>
        <w:t>Decisiones tomadas (firmes)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Monetización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100% </w:t>
            </w:r>
            <w:r>
              <w:rPr>
                <w:b/>
                <w:sz w:val="19"/>
              </w:rPr>
              <w:t>pay-per-priority</w:t>
            </w:r>
            <w:r>
              <w:rPr>
                <w:sz w:val="19"/>
              </w:rPr>
              <w:t xml:space="preserve"> (pagar para adelantar tu canción). </w:t>
            </w:r>
            <w:r>
              <w:rPr>
                <w:b/>
                <w:sz w:val="19"/>
              </w:rPr>
              <w:t>Sin cobro inicial ni mensualidad al comercio</w:t>
            </w:r>
            <w:r>
              <w:rPr>
                <w:sz w:val="19"/>
              </w:rPr>
              <w:t xml:space="preserve"> en la entrada.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Cobro al usuario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 xml:space="preserve">Micro-cobro </w:t>
            </w:r>
            <w:r>
              <w:rPr>
                <w:b/>
                <w:sz w:val="19"/>
              </w:rPr>
              <w:t>se suma a la cuenta final</w:t>
            </w:r>
            <w:r>
              <w:rPr>
                <w:sz w:val="19"/>
              </w:rPr>
              <w:t xml:space="preserve"> del cliente (NO se procesa por canción → evita comisión de pasarela que se comería ~55%). Liquidación B2B en bloque con el comercio.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Precio por canción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Variable, lo fija cada comercio</w:t>
            </w:r>
            <w:r>
              <w:rPr>
                <w:sz w:val="19"/>
              </w:rPr>
              <w:t>: $200 (cafés/espera) → $2.000 COP (premium/discos).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Fallback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 xml:space="preserve">Si nadie paga → suena </w:t>
            </w:r>
            <w:r>
              <w:rPr>
                <w:b/>
                <w:sz w:val="19"/>
              </w:rPr>
              <w:t>lista random curada por el dueño</w:t>
            </w:r>
            <w:r>
              <w:rPr>
                <w:sz w:val="19"/>
              </w:rPr>
              <w:t xml:space="preserve"> (acorde a su estilo, legal).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Control del dueño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Total: estilo/géneros, aprobar/rechazar, volumen, horarios.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Anti-cola-infinita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>Límite por usuario, tiempo máx. de espera, precio dinámico opcional.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Primero </w:t>
            </w:r>
            <w:r>
              <w:rPr>
                <w:b/>
                <w:sz w:val="19"/>
              </w:rPr>
              <w:t>web app</w:t>
            </w:r>
            <w:r>
              <w:rPr>
                <w:sz w:val="19"/>
              </w:rPr>
              <w:t xml:space="preserve"> (sin descargas). App/ecosistema de usuario solo a futuro.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Fuente/legal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 xml:space="preserve">Empezar con </w:t>
            </w:r>
            <w:r>
              <w:rPr>
                <w:b/>
                <w:sz w:val="19"/>
              </w:rPr>
              <w:t>embeds de reproductores oficiales</w:t>
            </w:r>
            <w:r>
              <w:rPr>
                <w:sz w:val="19"/>
              </w:rPr>
              <w:t xml:space="preserve"> (front desacoplado del back, sin atarse a APIs Spotify/YouTube) → migrar a </w:t>
            </w:r>
            <w:r>
              <w:rPr>
                <w:b/>
                <w:sz w:val="19"/>
              </w:rPr>
              <w:t>catálogo licenciado</w:t>
            </w:r>
            <w:r>
              <w:rPr>
                <w:sz w:val="19"/>
              </w:rPr>
              <w:t xml:space="preserve"> con el tiempo. </w:t>
            </w:r>
            <w:r>
              <w:rPr>
                <w:b/>
                <w:sz w:val="19"/>
              </w:rPr>
              <w:t>Nunca meterse en problemas legales.</w:t>
            </w:r>
            <w:r>
              <w:rPr>
                <w:sz w:val="19"/>
              </w:rPr>
              <w:t xml:space="preserve"> Gestionar Sayco-Acinpro.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Nichos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Atacar </w:t>
            </w:r>
            <w:r>
              <w:rPr>
                <w:b/>
                <w:sz w:val="19"/>
              </w:rPr>
              <w:t>varios gradualmente</w:t>
            </w:r>
            <w:r>
              <w:rPr>
                <w:sz w:val="19"/>
              </w:rPr>
              <w:t xml:space="preserve"> (gym, cafés, barberías, food courts, salas de espera) y ver dónde tracciona más. NO entrar de frente con bares (ahí está Melao).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Roadmap ingresos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 xml:space="preserve">Año 1 entrar (pay-per-priority) → Año 2 agregar </w:t>
            </w:r>
            <w:r>
              <w:rPr>
                <w:b/>
                <w:sz w:val="19"/>
              </w:rPr>
              <w:t>suscripción anual mínima</w:t>
            </w:r>
            <w:r>
              <w:rPr>
                <w:sz w:val="19"/>
              </w:rPr>
              <w:t xml:space="preserve"> al comercio que cubra operación → Año 3 catálogo licenciado + app.</w:t>
            </w:r>
          </w:p>
        </w:tc>
      </w:tr>
    </w:tbl>
    <w:p/>
    <w:p>
      <w:pPr>
        <w:pStyle w:val="Heading2"/>
      </w:pPr>
      <w:r>
        <w:t>Veredicto de viabilidad</w:t>
      </w:r>
    </w:p>
    <w:p>
      <w:r>
        <w:rPr>
          <w:b/>
        </w:rPr>
        <w:t>VIABLE con diferenciación.</w:t>
      </w:r>
      <w:r>
        <w:t xml:space="preserve"> No es océano azul clonar a Melao. El azul está en: música dedicada + legalidad + ingreso para el comercio.</w:t>
      </w:r>
    </w:p>
    <w:p>
      <w:pPr>
        <w:pStyle w:val="Heading2"/>
      </w:pPr>
      <w:r>
        <w:t>Números clave (supuestos a validar)</w:t>
      </w:r>
    </w:p>
    <w:p>
      <w:pPr>
        <w:pStyle w:val="ListBullet"/>
      </w:pPr>
      <w:r>
        <w:t>Precio promedio ponderado: $700/prioridad. Local activo: ~25 prioridades/noche × 18 noches = 450/mes → recaudo $315k/local/mes.</w:t>
      </w:r>
    </w:p>
    <w:p>
      <w:pPr>
        <w:pStyle w:val="ListBullet"/>
      </w:pPr>
      <w:r>
        <w:t>Split base: comercio 35% / TYM 65% (palanca a validar).</w:t>
      </w:r>
    </w:p>
    <w:p>
      <w:pPr>
        <w:pStyle w:val="ListBullet"/>
      </w:pPr>
      <w:r>
        <w:t xml:space="preserve">Margen contribución TYM/local: </w:t>
      </w:r>
      <w:r>
        <w:rPr>
          <w:b/>
        </w:rPr>
        <w:t>~$196k/mes (embed)</w:t>
      </w:r>
      <w:r>
        <w:t>, ~$116k/mes (catálogo licenciado).</w:t>
      </w:r>
    </w:p>
    <w:p>
      <w:pPr>
        <w:pStyle w:val="ListBullet"/>
      </w:pPr>
      <w:r>
        <w:rPr>
          <w:b/>
        </w:rPr>
        <w:t>Punto de equilibrio: ~76 locales activos (embed)</w:t>
      </w:r>
      <w:r>
        <w:t>, ~129 (licenciado), con costos fijos ~$15M COP/mes.</w:t>
      </w:r>
    </w:p>
    <w:p>
      <w:pPr>
        <w:pStyle w:val="ListBullet"/>
      </w:pPr>
      <w:r>
        <w:rPr>
          <w:b/>
        </w:rPr>
        <w:t>Métrica que importa: prioridades pagadas por noche</w:t>
      </w:r>
      <w:r>
        <w:t xml:space="preserve"> (no locales registrados).</w:t>
      </w:r>
    </w:p>
    <w:p>
      <w:pPr>
        <w:pStyle w:val="Heading2"/>
      </w:pPr>
      <w:r>
        <w:t>Competencia</w:t>
      </w:r>
    </w:p>
    <w:p>
      <w:pPr>
        <w:pStyle w:val="ListBullet"/>
      </w:pPr>
      <w:r>
        <w:rPr>
          <w:b/>
        </w:rPr>
        <w:t>Melao</w:t>
      </w:r>
      <w:r>
        <w:t xml:space="preserve"> (melao.app): rival más cercano, pero es POS todo-en-uno; música = feature secundaria; zona gris legal; 1 bar visible. Vulnerable.</w:t>
      </w:r>
    </w:p>
    <w:p>
      <w:pPr>
        <w:pStyle w:val="ListBullet"/>
      </w:pPr>
      <w:r>
        <w:t>Otros locales: Apollo App, Secret DJ, "Programa tu música" (Antioquia).</w:t>
      </w:r>
    </w:p>
    <w:p>
      <w:pPr>
        <w:pStyle w:val="ListBullet"/>
      </w:pPr>
      <w:r>
        <w:t>Internacionales (referencia): TouchTunes (pay-per-song, 65k locales), Rockbot (US$25/mes licenciado), Soundtrack.</w:t>
      </w:r>
    </w:p>
    <w:p>
      <w:pPr>
        <w:pStyle w:val="Heading2"/>
      </w:pPr>
      <w:r>
        <w:t>Riesgos top</w:t>
      </w:r>
    </w:p>
    <w:p>
      <w:pPr>
        <w:pStyle w:val="ListNumber"/>
      </w:pPr>
      <w:r>
        <w:t xml:space="preserve">Legal de fuentes (Spotify/YouTube prohíben uso comercial) → mitigado con embeds + catálogo + Sayco-Acinpro. </w:t>
      </w:r>
      <w:r>
        <w:rPr>
          <w:b/>
        </w:rPr>
        <w:t>Validar con abogado PI.</w:t>
      </w:r>
    </w:p>
    <w:p>
      <w:pPr>
        <w:pStyle w:val="ListNumber"/>
      </w:pPr>
      <w:r>
        <w:t>Cartera (comercio no liquida) → liquidación frecuente + garantía.</w:t>
      </w:r>
    </w:p>
    <w:p>
      <w:pPr>
        <w:pStyle w:val="ListNumber"/>
      </w:pPr>
      <w:r>
        <w:t>Pocos pagan → fallback random + validar en campo.</w:t>
      </w:r>
    </w:p>
    <w:p>
      <w:pPr>
        <w:pStyle w:val="Heading2"/>
      </w:pPr>
      <w:r>
        <w:t>Decisiones abiertas (resolver antes/durante MVP)</w:t>
      </w:r>
    </w:p>
    <w:p>
      <w:pPr>
        <w:pStyle w:val="ListBullet"/>
      </w:pPr>
      <w:r>
        <w:t>Split % final comercio/TYM.</w:t>
      </w:r>
    </w:p>
    <w:p>
      <w:pPr>
        <w:pStyle w:val="ListBullet"/>
      </w:pPr>
      <w:r>
        <w:t>Precio dinámico vs fijo.</w:t>
      </w:r>
    </w:p>
    <w:p>
      <w:pPr>
        <w:pStyle w:val="ListBullet"/>
      </w:pPr>
      <w:r>
        <w:t>Definición legal exacta del "sistema intermedio" (con abogado PI).</w:t>
      </w:r>
    </w:p>
    <w:p>
      <w:pPr>
        <w:pStyle w:val="ListBullet"/>
      </w:pPr>
      <w:r>
        <w:t>Mecanismo anti-cartera y frecuencia de liquidación.</w:t>
      </w:r>
    </w:p>
    <w:p>
      <w:pPr>
        <w:pStyle w:val="ListBullet"/>
      </w:pPr>
      <w:r>
        <w:t>Costos reales: cloud, catálogo licenciado, pasarela.</w:t>
      </w:r>
    </w:p>
    <w:p>
      <w:pPr>
        <w:pStyle w:val="Heading2"/>
      </w:pPr>
      <w:r>
        <w:t>Próximos pasos</w:t>
      </w:r>
    </w:p>
    <w:p>
      <w:pPr>
        <w:pStyle w:val="ListNumber"/>
      </w:pPr>
      <w:r>
        <w:t>Validación de campo (10–15 entrevistas, guion en doc 02 §14).</w:t>
      </w:r>
    </w:p>
    <w:p>
      <w:pPr>
        <w:pStyle w:val="ListNumber"/>
      </w:pPr>
      <w:r>
        <w:t>Asesoría legal PI sobre embeds desacoplados.</w:t>
      </w:r>
    </w:p>
    <w:p>
      <w:pPr>
        <w:pStyle w:val="ListNumber"/>
      </w:pPr>
      <w:r>
        <w:t>MVP web app: cola tiempo real + panel dueño + QR cliente + registro de cobros a la cuenta.</w:t>
      </w:r>
    </w:p>
    <w:p>
      <w:pPr>
        <w:pStyle w:val="ListNumber"/>
      </w:pPr>
      <w:r>
        <w:t>Piloto en 1–2 nichos midiendo prioridades pagadas/noche.</w:t>
      </w:r>
    </w:p>
    <w:p>
      <w:pPr>
        <w:pStyle w:val="Heading2"/>
      </w:pPr>
      <w:r>
        <w:t>Documentos del proyecto</w:t>
      </w:r>
    </w:p>
    <w:p>
      <w:pPr>
        <w:pStyle w:val="ListBullet"/>
      </w:pPr>
      <w:r>
        <w:rPr>
          <w:rFonts w:ascii="Consolas" w:hAnsi="Consolas"/>
          <w:sz w:val="19"/>
        </w:rPr>
        <w:t>docs/00-MASTER-BRIEF.md</w:t>
      </w:r>
      <w:r>
        <w:t xml:space="preserve"> — este archivo (resumen maestro).</w:t>
      </w:r>
    </w:p>
    <w:p>
      <w:pPr>
        <w:pStyle w:val="ListBullet"/>
      </w:pPr>
      <w:r>
        <w:rPr>
          <w:rFonts w:ascii="Consolas" w:hAnsi="Consolas"/>
          <w:sz w:val="19"/>
        </w:rPr>
        <w:t>docs/02-modelo-negocio-y-costos.md</w:t>
      </w:r>
      <w:r>
        <w:t xml:space="preserve"> — modelo y costos detallados.</w:t>
      </w:r>
    </w:p>
    <w:p>
      <w:pPr>
        <w:pStyle w:val="ListBullet"/>
      </w:pPr>
      <w:r>
        <w:rPr>
          <w:rFonts w:ascii="Consolas" w:hAnsi="Consolas"/>
          <w:sz w:val="19"/>
        </w:rPr>
        <w:t>docs/TYM_Music_Analisis_Mercado.docx</w:t>
      </w:r>
      <w:r>
        <w:t xml:space="preserve"> — </w:t>
      </w:r>
      <w:r>
        <w:rPr>
          <w:b/>
        </w:rPr>
        <w:t>documento Word completo con gráficas, tablas y proyecciones</w:t>
      </w:r>
      <w:r>
        <w:t xml:space="preserve"> (para presentar/compartir).</w:t>
      </w:r>
    </w:p>
    <w:p>
      <w:pPr>
        <w:pStyle w:val="ListBullet"/>
      </w:pPr>
      <w:r>
        <w:rPr>
          <w:rFonts w:ascii="Consolas" w:hAnsi="Consolas"/>
          <w:sz w:val="19"/>
        </w:rPr>
        <w:t>~/.claude/plans/immutable-enchanting-lemur.md</w:t>
      </w:r>
      <w:r>
        <w:t xml:space="preserve"> — estudio de mercado original (benchmark, océano rojo/azul, warnings).</w:t>
      </w:r>
    </w:p>
    <w:p>
      <w:pPr>
        <w:pStyle w:val="ListBullet"/>
      </w:pPr>
      <w:r>
        <w:t>Scripts de generación: scratchpad de la sesión (</w:t>
      </w:r>
      <w:r>
        <w:rPr>
          <w:rFonts w:ascii="Consolas" w:hAnsi="Consolas"/>
          <w:sz w:val="19"/>
        </w:rPr>
        <w:t>build_charts.py</w:t>
      </w:r>
      <w:r>
        <w:t xml:space="preserve">, </w:t>
      </w:r>
      <w:r>
        <w:rPr>
          <w:rFonts w:ascii="Consolas" w:hAnsi="Consolas"/>
          <w:sz w:val="19"/>
        </w:rPr>
        <w:t>build_docx.py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