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68"/>
        </w:rPr>
        <w:t>TYM MUSIC</w:t>
      </w:r>
    </w:p>
    <w:p>
      <w:pPr>
        <w:jc w:val="center"/>
      </w:pPr>
      <w:r>
        <w:rPr>
          <w:color w:val="2E75B6"/>
          <w:sz w:val="30"/>
        </w:rPr>
        <w:t>Modelo de Negocio y Analisis de Costos</w:t>
      </w:r>
    </w:p>
    <w:p>
      <w:pPr>
        <w:jc w:val="center"/>
      </w:pPr>
      <w:r>
        <w:rPr>
          <w:i/>
          <w:color w:val="555555"/>
          <w:sz w:val="20"/>
        </w:rPr>
        <w:t>Pay-per-priority · Unit economics · Costos operativos · Junio 2026</w:t>
      </w:r>
    </w:p>
    <w:p>
      <w:r>
        <w:br w:type="page"/>
      </w:r>
    </w:p>
    <w:p>
      <w:pPr>
        <w:pStyle w:val="Heading1"/>
      </w:pPr>
      <w:r>
        <w:t>TYM Music — Modelo de Negocio y Análisis de Costos Operativos</w:t>
      </w:r>
    </w:p>
    <w:p>
      <w:r>
        <w:rPr>
          <w:i/>
          <w:color w:val="555555"/>
          <w:sz w:val="20"/>
        </w:rPr>
        <w:t>Fecha: 2026-06-25 · Fase: Definición de modelo (pre-MVP) · Doc previo: estudio de mercado (</w:t>
      </w:r>
      <w:r>
        <w:rPr>
          <w:rFonts w:ascii="Consolas" w:hAnsi="Consolas"/>
          <w:i/>
          <w:color w:val="555555"/>
          <w:sz w:val="20"/>
        </w:rPr>
        <w:t>~/.claude/plans/immutable-enchanting-lemur.md</w:t>
      </w:r>
      <w:r>
        <w:rPr>
          <w:i/>
          <w:color w:val="555555"/>
          <w:sz w:val="20"/>
        </w:rPr>
        <w:t>)</w:t>
      </w:r>
    </w:p>
    <w:p>
      <w:pPr>
        <w:pStyle w:val="Heading2"/>
      </w:pPr>
      <w:r>
        <w:t>1. Modelo de negocio definido</w:t>
      </w:r>
    </w:p>
    <w:p>
      <w:r>
        <w:rPr>
          <w:b/>
        </w:rPr>
        <w:t>Tesis:</w:t>
      </w:r>
      <w:r>
        <w:t xml:space="preserve"> monetización 100% por </w:t>
      </w:r>
      <w:r>
        <w:rPr>
          <w:b/>
        </w:rPr>
        <w:t>pago por prioridad (pay-per-priority)</w:t>
      </w:r>
      <w:r>
        <w:t xml:space="preserve">, sin cobros iniciales ni mensualidad al comercio. El comercio adopta porque </w:t>
      </w:r>
      <w:r>
        <w:rPr>
          <w:b/>
        </w:rPr>
        <w:t>gana dinero sin arriesgar nada</w:t>
      </w:r>
      <w:r>
        <w:t>.</w:t>
      </w:r>
    </w:p>
    <w:p>
      <w:r>
        <w:rPr>
          <w:b/>
        </w:rPr>
        <w:t>Mecánica:</w:t>
      </w:r>
    </w:p>
    <w:p>
      <w:pPr>
        <w:pStyle w:val="ListNumber"/>
      </w:pPr>
      <w:r>
        <w:t xml:space="preserve">El cliente del local pide una canción para que suene </w:t>
      </w:r>
      <w:r>
        <w:rPr>
          <w:b/>
        </w:rPr>
        <w:t>antes</w:t>
      </w:r>
      <w:r>
        <w:t xml:space="preserve"> (priority) → micro-cobro </w:t>
      </w:r>
      <w:r>
        <w:rPr>
          <w:b/>
        </w:rPr>
        <w:t>muy bajo</w:t>
      </w:r>
      <w:r>
        <w:t>.</w:t>
      </w:r>
    </w:p>
    <w:p>
      <w:pPr>
        <w:pStyle w:val="ListNumber"/>
      </w:pPr>
      <w:r>
        <w:t xml:space="preserve">El cobro </w:t>
      </w:r>
      <w:r>
        <w:rPr>
          <w:b/>
        </w:rPr>
        <w:t>NO se procesa por canción</w:t>
      </w:r>
      <w:r>
        <w:t xml:space="preserve">: se </w:t>
      </w:r>
      <w:r>
        <w:rPr>
          <w:b/>
        </w:rPr>
        <w:t>acumula y se suma a la cuenta final</w:t>
      </w:r>
      <w:r>
        <w:t xml:space="preserve"> del cliente con el comercio.</w:t>
      </w:r>
    </w:p>
    <w:p>
      <w:pPr>
        <w:pStyle w:val="ListNumber"/>
      </w:pPr>
      <w:r>
        <w:rPr>
          <w:b/>
        </w:rPr>
        <w:t>El que quiere escuchar, paga.</w:t>
      </w:r>
      <w:r>
        <w:t xml:space="preserve"> Si nadie está pagando prioridades → el sistema reproduce una </w:t>
      </w:r>
      <w:r>
        <w:rPr>
          <w:b/>
        </w:rPr>
        <w:t>lista "random" curada por el dueño</w:t>
      </w:r>
      <w:r>
        <w:t xml:space="preserve"> (acorde a su estilo).</w:t>
      </w:r>
    </w:p>
    <w:p>
      <w:pPr>
        <w:pStyle w:val="ListNumber"/>
      </w:pPr>
      <w:r>
        <w:rPr>
          <w:b/>
        </w:rPr>
        <w:t>Control total del dueño</w:t>
      </w:r>
      <w:r>
        <w:t>: define estilo/géneros permitidos, aprueba/rechaza, gestiona la lista de respaldo.</w:t>
      </w:r>
    </w:p>
    <w:p>
      <w:pPr>
        <w:pStyle w:val="ListNumber"/>
      </w:pPr>
      <w:r>
        <w:rPr>
          <w:b/>
        </w:rPr>
        <w:t>Reglas anti-cola-infinita</w:t>
      </w:r>
      <w:r>
        <w:t>: límites claros para que la cola no se descontrole.</w:t>
      </w:r>
    </w:p>
    <w:p>
      <w:pPr>
        <w:pStyle w:val="ListNumber"/>
      </w:pPr>
      <w:r>
        <w:rPr>
          <w:b/>
        </w:rPr>
        <w:t>Legalidad</w:t>
      </w:r>
      <w:r>
        <w:t xml:space="preserve"> vía un "sistema intermedio" (ver §4).</w:t>
      </w:r>
    </w:p>
    <w:p>
      <w:pPr>
        <w:pStyle w:val="ListNumber"/>
      </w:pPr>
      <w:r>
        <w:t xml:space="preserve">Entrada al mercado por </w:t>
      </w:r>
      <w:r>
        <w:rPr>
          <w:b/>
        </w:rPr>
        <w:t>nichos desatendidos</w:t>
      </w:r>
      <w:r>
        <w:t xml:space="preserve"> (ver §8).</w:t>
      </w:r>
    </w:p>
    <w:p>
      <w:r>
        <w:rPr>
          <w:b/>
        </w:rPr>
        <w:t>Por qué funciona la adopción:</w:t>
      </w:r>
      <w:r>
        <w:t xml:space="preserve"> riesgo cero para el comercio (no paga nada por adelantado), ingreso incremental nuevo, mejor experiencia de cliente, y control para no romper el ambiente del local.</w:t>
      </w:r>
    </w:p>
    <w:p>
      <w:pPr>
        <w:pStyle w:val="Heading2"/>
      </w:pPr>
      <w:r>
        <w:t>2. Por qué "sumar a la cuenta" es la decisión correcta (clave de unit economics)</w:t>
      </w:r>
    </w:p>
    <w:p>
      <w:r>
        <w:t xml:space="preserve">Procesar cada canción como un micropago independiente es </w:t>
      </w:r>
      <w:r>
        <w:rPr>
          <w:b/>
        </w:rPr>
        <w:t>inviable</w:t>
      </w:r>
      <w:r>
        <w:t xml:space="preserve"> en Colombia: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Micropago individual ($1.500/canción)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Acumulado a la cuenta (liquidación mensual)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Comisión pasarela (Wompi tarjeta)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2,65% + </w:t>
            </w:r>
            <w:r>
              <w:rPr>
                <w:b/>
                <w:sz w:val="19"/>
              </w:rPr>
              <w:t>$700</w:t>
            </w:r>
            <w:r>
              <w:rPr>
                <w:sz w:val="19"/>
              </w:rPr>
              <w:t xml:space="preserve"> + IVA ≈ </w:t>
            </w:r>
            <w:r>
              <w:rPr>
                <w:b/>
                <w:sz w:val="19"/>
              </w:rPr>
              <w:t>$896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2,65% + $700 sobre el </w:t>
            </w:r>
            <w:r>
              <w:rPr>
                <w:b/>
                <w:sz w:val="19"/>
              </w:rPr>
              <w:t>total mensual</w:t>
            </w:r>
            <w:r>
              <w:rPr>
                <w:sz w:val="19"/>
              </w:rPr>
              <w:t xml:space="preserve"> (despreciable por unidad)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% que se come la comisión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~45–60%</w:t>
            </w:r>
            <w:r>
              <w:rPr>
                <w:sz w:val="19"/>
              </w:rPr>
              <w:t xml:space="preserve"> 😱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&lt;3%</w:t>
            </w:r>
            <w:r>
              <w:rPr>
                <w:sz w:val="19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Fricción para el cliente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Pagar cada vez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Cero: paga todo junto al final</w:t>
            </w:r>
          </w:p>
        </w:tc>
      </w:tr>
    </w:tbl>
    <w:p/>
    <w:p>
      <w:r>
        <w:t xml:space="preserve">→ El micro-cobro se </w:t>
      </w:r>
      <w:r>
        <w:rPr>
          <w:b/>
        </w:rPr>
        <w:t>registra digitalmente</w:t>
      </w:r>
      <w:r>
        <w:t xml:space="preserve"> durante la noche y se </w:t>
      </w:r>
      <w:r>
        <w:rPr>
          <w:b/>
        </w:rPr>
        <w:t>liquida una sola vez</w:t>
      </w:r>
      <w:r>
        <w:t xml:space="preserve">: el cliente lo paga en su cuenta al comercio, y el comercio </w:t>
      </w:r>
      <w:r>
        <w:rPr>
          <w:b/>
        </w:rPr>
        <w:t>liquida con TYM en bloque</w:t>
      </w:r>
      <w:r>
        <w:t xml:space="preserve"> (B2B). Esto hace que el modelo sea </w:t>
      </w:r>
      <w:r>
        <w:rPr>
          <w:b/>
        </w:rPr>
        <w:t>rentable incluso con precios bajísimos por canción</w:t>
      </w:r>
      <w:r>
        <w:t>.</w:t>
      </w:r>
    </w:p>
    <w:p>
      <w:pPr>
        <w:pStyle w:val="Heading2"/>
      </w:pPr>
      <w:r>
        <w:t>3. Flujo de dinero (settlement)</w:t>
      </w:r>
    </w:p>
    <w:p>
      <w:r>
        <w:rPr>
          <w:rFonts w:ascii="Consolas" w:hAnsi="Consolas"/>
          <w:sz w:val="18"/>
        </w:rPr>
        <w:t>Cliente ──paga su cuenta completa──&gt; Comercio  (incluye $ de prioridades)</w:t>
        <w:br/>
        <w:t>Comercio ──liquida en bloque (semanal/mensual)──&gt; TYM Music  (solo la parte de TYM)</w:t>
      </w:r>
    </w:p>
    <w:p>
      <w:r>
        <w:rPr>
          <w:b/>
        </w:rPr>
        <w:t>Dos variantes de cobro al comercio (a decidir):</w:t>
      </w:r>
    </w:p>
    <w:p>
      <w:pPr>
        <w:pStyle w:val="ListBullet"/>
      </w:pPr>
      <w:r>
        <w:rPr>
          <w:b/>
        </w:rPr>
        <w:t>A) Comercio retiene su % y paga el resto a TYM</w:t>
      </w:r>
      <w:r>
        <w:t xml:space="preserve"> → TYM factura mensual el acumulado de su parte.</w:t>
      </w:r>
    </w:p>
    <w:p>
      <w:pPr>
        <w:pStyle w:val="ListBullet"/>
      </w:pPr>
      <w:r>
        <w:rPr>
          <w:b/>
        </w:rPr>
        <w:t>B) TYM cobra todo y devuelve el % al comercio</w:t>
      </w:r>
      <w:r>
        <w:t xml:space="preserve"> → más control para TYM pero más fricción/confianza requerida.</w:t>
      </w:r>
    </w:p>
    <w:p>
      <w:r>
        <w:t xml:space="preserve">Recomendado: </w:t>
      </w:r>
      <w:r>
        <w:rPr>
          <w:b/>
        </w:rPr>
        <w:t>variante A</w:t>
      </w:r>
      <w:r>
        <w:t xml:space="preserve"> (el comercio se queda con SU dinero, paga solo lo de TYM) → menos fricción, más confianza, una sola transacción pasarela mensual.</w:t>
      </w:r>
    </w:p>
    <w:p>
      <w:r>
        <w:rPr>
          <w:b/>
        </w:rPr>
        <w:t>Riesgo a mitigar:</w:t>
      </w:r>
      <w:r>
        <w:t xml:space="preserve"> que el comercio no liquide (cartera). Mitigación: liquidación frecuente, depósito/garantía pequeño, o corte de servicio por mora.</w:t>
      </w:r>
    </w:p>
    <w:p>
      <w:pPr>
        <w:pStyle w:val="Heading2"/>
      </w:pPr>
      <w:r>
        <w:t>4. El "sistema intermedio" de legalidad</w:t>
      </w:r>
    </w:p>
    <w:p>
      <w:r>
        <w:t>Tres capas posibles (de menor a mayor solidez), combinables:</w:t>
      </w:r>
    </w:p>
    <w:p>
      <w:pPr>
        <w:pStyle w:val="ListNumber"/>
      </w:pPr>
      <w:r>
        <w:rPr>
          <w:b/>
        </w:rPr>
        <w:t>Lista de respaldo curada por el dueño</w:t>
      </w:r>
      <w:r>
        <w:t xml:space="preserve"> desde </w:t>
      </w:r>
      <w:r>
        <w:rPr>
          <w:b/>
        </w:rPr>
        <w:t>catálogo licenciado</w:t>
      </w:r>
      <w:r>
        <w:t xml:space="preserve"> (cuando nadie paga) → la mayoría del tiempo suena música legal.</w:t>
      </w:r>
    </w:p>
    <w:p>
      <w:pPr>
        <w:pStyle w:val="ListNumber"/>
      </w:pPr>
      <w:r>
        <w:rPr>
          <w:b/>
        </w:rPr>
        <w:t>Requests de prioridad</w:t>
      </w:r>
      <w:r>
        <w:t xml:space="preserve"> del cliente: aquí está el reto legal de la fuente (Spotify/YouTube = zona gris). El "sistema intermedio" puede ser:</w:t>
      </w:r>
    </w:p>
    <w:p>
      <w:pPr>
        <w:pStyle w:val="ListBullet"/>
      </w:pPr>
      <w:r>
        <w:t xml:space="preserve">Requests </w:t>
      </w:r>
      <w:r>
        <w:rPr>
          <w:b/>
        </w:rPr>
        <w:t>solo sobre el catálogo licenciado</w:t>
      </w:r>
      <w:r>
        <w:t xml:space="preserve"> (más seguro), o</w:t>
      </w:r>
    </w:p>
    <w:p>
      <w:pPr>
        <w:pStyle w:val="ListBullet"/>
      </w:pPr>
      <w:r>
        <w:t xml:space="preserve">Permitir fuentes externas pero con </w:t>
      </w:r>
      <w:r>
        <w:rPr>
          <w:b/>
        </w:rPr>
        <w:t>gestión Sayco-Acinpro empaquetada</w:t>
      </w:r>
      <w:r>
        <w:t xml:space="preserve"> que cubra la comunicación pública.</w:t>
      </w:r>
    </w:p>
    <w:p>
      <w:pPr>
        <w:pStyle w:val="ListNumber"/>
      </w:pPr>
      <w:r>
        <w:rPr>
          <w:b/>
        </w:rPr>
        <w:t>TYM gestiona/optimiza la licencia Sayco-Acinpro (OSA)</w:t>
      </w:r>
      <w:r>
        <w:t xml:space="preserve"> del comercio como servicio integrado → convierte el riesgo en valor.</w:t>
      </w:r>
    </w:p>
    <w:p>
      <w:r>
        <w:rPr>
          <w:i/>
          <w:color w:val="555555"/>
          <w:sz w:val="20"/>
        </w:rPr>
        <w:t xml:space="preserve">⚠️ </w:t>
      </w:r>
      <w:r>
        <w:rPr>
          <w:b/>
          <w:i/>
          <w:color w:val="555555"/>
          <w:sz w:val="20"/>
        </w:rPr>
        <w:t>Decisión crítica abierta:</w:t>
      </w:r>
      <w:r>
        <w:rPr>
          <w:i/>
          <w:color w:val="555555"/>
          <w:sz w:val="20"/>
        </w:rPr>
        <w:t xml:space="preserve"> definir qué significa exactamente "sistema intermedio". Hay que validar con un abogado de propiedad intelectual en Colombia. Impacta directamente costos (§6) y viabilidad técnica.</w:t>
      </w:r>
    </w:p>
    <w:p>
      <w:pPr>
        <w:pStyle w:val="Heading2"/>
      </w:pPr>
      <w:r>
        <w:t>5. Reglas de producto (mecánicas a diseñar)</w:t>
      </w:r>
    </w:p>
    <w:p>
      <w:pPr>
        <w:pStyle w:val="ListBullet"/>
      </w:pPr>
      <w:r>
        <w:rPr>
          <w:b/>
        </w:rPr>
        <w:t>Control del dueño:</w:t>
      </w:r>
      <w:r>
        <w:t xml:space="preserve"> géneros/estilo permitidos, lista blanca/negra, aprobar/rechazar en tiempo real, volumen, horarios.</w:t>
      </w:r>
    </w:p>
    <w:p>
      <w:pPr>
        <w:pStyle w:val="ListBullet"/>
      </w:pPr>
      <w:r>
        <w:rPr>
          <w:b/>
        </w:rPr>
        <w:t>Anti-cola-infinita:</w:t>
      </w:r>
    </w:p>
    <w:p>
      <w:pPr>
        <w:pStyle w:val="ListBullet"/>
      </w:pPr>
      <w:r>
        <w:t>Límite de canciones en cola por usuario.</w:t>
      </w:r>
    </w:p>
    <w:p>
      <w:pPr>
        <w:pStyle w:val="ListBullet"/>
      </w:pPr>
      <w:r>
        <w:t>Tiempo máximo de espera o "la prioridad garantiza sonar en las próximas N canciones".</w:t>
      </w:r>
    </w:p>
    <w:p>
      <w:pPr>
        <w:pStyle w:val="ListBullet"/>
      </w:pPr>
      <w:r>
        <w:t>Precio dinámico opcional (cuesta más adelantar si la cola está llena) → más ingreso + autorregula la cola.</w:t>
      </w:r>
    </w:p>
    <w:p>
      <w:pPr>
        <w:pStyle w:val="ListBullet"/>
      </w:pPr>
      <w:r>
        <w:t>Anti-duplicados y filtro de explícitas según el local.</w:t>
      </w:r>
    </w:p>
    <w:p>
      <w:pPr>
        <w:pStyle w:val="ListBullet"/>
      </w:pPr>
      <w:r>
        <w:rPr>
          <w:b/>
        </w:rPr>
        <w:t>Fallback random:</w:t>
      </w:r>
      <w:r>
        <w:t xml:space="preserve"> si no hay prioridades pagas en cola → reproduce la </w:t>
      </w:r>
      <w:r>
        <w:rPr>
          <w:b/>
        </w:rPr>
        <w:t>playlist de respaldo</w:t>
      </w:r>
      <w:r>
        <w:t xml:space="preserve"> del dueño (legal, acorde al estilo).</w:t>
      </w:r>
    </w:p>
    <w:p>
      <w:pPr>
        <w:pStyle w:val="Heading2"/>
      </w:pPr>
      <w:r>
        <w:t>6. Análisis de costos operativos</w:t>
      </w:r>
    </w:p>
    <w:p>
      <w:pPr>
        <w:pStyle w:val="Heading3"/>
      </w:pPr>
      <w:r>
        <w:t>6.1 Costos FIJOS de plataforma (no dependen del # de locales)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Costo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Etapa MVP (mensual)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 escala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Infraestructura cloud (backend tiempo real, websockets, DB, hosting)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US$50–250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escala con uso (US$500–2.000+)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Desarrollo y mantenimiento (equipo/devs)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el costo dominante inicial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Dominio, monitoreo, herramientas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US$30–100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pStyle w:val="Heading3"/>
      </w:pPr>
      <w:r>
        <w:t>6.2 Costos VARIABLES (por local / por uso)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Costo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Estimado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Fuente de música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$0 (zona gris) </w:t>
            </w:r>
            <w:r>
              <w:rPr>
                <w:b/>
                <w:sz w:val="19"/>
              </w:rPr>
              <w:t>hasta</w:t>
            </w:r>
            <w:r>
              <w:rPr>
                <w:sz w:val="19"/>
              </w:rPr>
              <w:t xml:space="preserve"> US$15–30/local/mes (catálogo licenciado)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El mayor swing de costo</w:t>
            </w:r>
            <w:r>
              <w:rPr>
                <w:sz w:val="19"/>
              </w:rPr>
              <w:t>; depende de §4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Pasarela de pago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 xml:space="preserve">~2,65% + $700 + IVA por liquidación </w:t>
            </w:r>
            <w:r>
              <w:rPr>
                <w:b/>
                <w:sz w:val="19"/>
              </w:rPr>
              <w:t>mensual</w:t>
            </w:r>
            <w:r>
              <w:rPr>
                <w:sz w:val="19"/>
              </w:rPr>
              <w:t xml:space="preserve"> por local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Despreciable por canción gracias a §2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Licencia Sayco-Acinpro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variable (la paga el comercio; TYM puede gestionarla)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Negociable con OSA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Soporte / onboarding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bajo si es self-service (QR, sin instalación)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pStyle w:val="Heading3"/>
      </w:pPr>
      <w:r>
        <w:t>6.3 El costo que define todo</w:t>
      </w:r>
    </w:p>
    <w:p>
      <w:r>
        <w:t xml:space="preserve">La </w:t>
      </w:r>
      <w:r>
        <w:rPr>
          <w:b/>
        </w:rPr>
        <w:t>fuente de música legal</w:t>
      </w:r>
      <w:r>
        <w:t xml:space="preserve"> es la variable que puede hacer o romper el margen:</w:t>
      </w:r>
    </w:p>
    <w:p>
      <w:pPr>
        <w:pStyle w:val="ListBullet"/>
      </w:pPr>
      <w:r>
        <w:rPr>
          <w:b/>
        </w:rPr>
        <w:t>Zona gris (links Spotify/YouTube):</w:t>
      </w:r>
      <w:r>
        <w:t xml:space="preserve"> costo ~$0 pero riesgo legal/baneo (como Melao).</w:t>
      </w:r>
    </w:p>
    <w:p>
      <w:pPr>
        <w:pStyle w:val="ListBullet"/>
      </w:pPr>
      <w:r>
        <w:rPr>
          <w:b/>
        </w:rPr>
        <w:t>Catálogo licenciado propio/revendido:</w:t>
      </w:r>
      <w:r>
        <w:t xml:space="preserve"> US$15–30/local/mes → con pay-per-priority esto se debe cubrir con los ingresos del local; en locales de bajo volumen puede comerse el margen.</w:t>
      </w:r>
    </w:p>
    <w:p>
      <w:r>
        <w:rPr>
          <w:i/>
          <w:color w:val="555555"/>
          <w:sz w:val="20"/>
        </w:rPr>
        <w:t xml:space="preserve">Conclusión: el modelo pay-per-priority </w:t>
      </w:r>
      <w:r>
        <w:rPr>
          <w:b/>
          <w:i/>
          <w:color w:val="555555"/>
          <w:sz w:val="20"/>
        </w:rPr>
        <w:t>exige</w:t>
      </w:r>
      <w:r>
        <w:rPr>
          <w:i/>
          <w:color w:val="555555"/>
          <w:sz w:val="20"/>
        </w:rPr>
        <w:t xml:space="preserve"> que el costo de fuente sea bajo o cubierto por el volumen. Resolver §4 antes de fijar precios finales.</w:t>
      </w:r>
    </w:p>
    <w:p>
      <w:pPr>
        <w:pStyle w:val="Heading2"/>
      </w:pPr>
      <w:r>
        <w:t>7. Unit economics (supuestos a validar)</w:t>
      </w:r>
    </w:p>
    <w:p>
      <w:r>
        <w:rPr>
          <w:b/>
        </w:rPr>
        <w:t>Supuestos:</w:t>
      </w:r>
    </w:p>
    <w:p>
      <w:pPr>
        <w:pStyle w:val="ListBullet"/>
      </w:pPr>
      <w:r>
        <w:t xml:space="preserve">Precio por prioridad al cliente: </w:t>
      </w:r>
      <w:r>
        <w:rPr>
          <w:b/>
        </w:rPr>
        <w:t>$1.500 COP</w:t>
      </w:r>
      <w:r>
        <w:t xml:space="preserve"> (muy bajo, va a la cuenta).</w:t>
      </w:r>
    </w:p>
    <w:p>
      <w:pPr>
        <w:pStyle w:val="ListBullet"/>
      </w:pPr>
      <w:r>
        <w:t>Local activo: ~</w:t>
      </w:r>
      <w:r>
        <w:rPr>
          <w:b/>
        </w:rPr>
        <w:t>25 prioridades/noche</w:t>
      </w:r>
      <w:r>
        <w:t xml:space="preserve"> × </w:t>
      </w:r>
      <w:r>
        <w:rPr>
          <w:b/>
        </w:rPr>
        <w:t>18 noches/mes</w:t>
      </w:r>
      <w:r>
        <w:t xml:space="preserve"> = 450 prioridades/mes.</w:t>
      </w:r>
    </w:p>
    <w:p>
      <w:pPr>
        <w:pStyle w:val="ListBullet"/>
      </w:pPr>
      <w:r>
        <w:t xml:space="preserve">Recaudo bruto/local: 450 × $1.500 = </w:t>
      </w:r>
      <w:r>
        <w:rPr>
          <w:b/>
        </w:rPr>
        <w:t>$675.000 COP/mes</w:t>
      </w:r>
      <w:r>
        <w:t>.</w:t>
      </w:r>
    </w:p>
    <w:p>
      <w:pPr>
        <w:pStyle w:val="ListBullet"/>
      </w:pPr>
      <w:r>
        <w:t xml:space="preserve">Split propuesto: </w:t>
      </w:r>
      <w:r>
        <w:rPr>
          <w:b/>
        </w:rPr>
        <w:t>Comercio 30% / TYM 70%</w:t>
      </w:r>
      <w:r>
        <w:t xml:space="preserve"> (el comercio gana "dinero gratis" sin costo inicial; TYM asume riesgo y operación).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Por local activo/mes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Recaudo bruto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$675.000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r>
              <w:rPr>
                <w:b/>
                <w:sz w:val="19"/>
              </w:rPr>
              <w:t>Parte del comercio (30%)</w:t>
            </w:r>
          </w:p>
        </w:tc>
        <w:tc>
          <w:tcPr>
            <w:tcW w:type="dxa" w:w="4320"/>
            <w:shd w:val="clear" w:color="auto" w:fill="EAF1F8"/>
          </w:tcPr>
          <w:p>
            <w:r>
              <w:rPr>
                <w:sz w:val="19"/>
              </w:rPr>
              <w:t>$202.500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Ingreso bruto TYM (70%)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$472.500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r>
              <w:rPr>
                <w:b/>
                <w:sz w:val="19"/>
              </w:rPr>
              <w:t>– Pasarela (2,65% s/recaudo)</w:t>
            </w:r>
          </w:p>
        </w:tc>
        <w:tc>
          <w:tcPr>
            <w:tcW w:type="dxa" w:w="4320"/>
            <w:shd w:val="clear" w:color="auto" w:fill="EAF1F8"/>
          </w:tcPr>
          <w:p>
            <w:r>
              <w:rPr>
                <w:sz w:val="19"/>
              </w:rPr>
              <w:t>~$18.000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– Fuente música (si licenciada, US$20≈$80.000)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$0 a $80.000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r>
              <w:rPr>
                <w:b/>
                <w:sz w:val="19"/>
              </w:rPr>
              <w:t>Margen de contribución TYM/local</w:t>
            </w:r>
          </w:p>
        </w:tc>
        <w:tc>
          <w:tcPr>
            <w:tcW w:type="dxa" w:w="4320"/>
            <w:shd w:val="clear" w:color="auto" w:fill="EAF1F8"/>
          </w:tcPr>
          <w:p>
            <w:r>
              <w:rPr>
                <w:b/>
                <w:sz w:val="19"/>
              </w:rPr>
              <w:t>~$375.000 a $455.000</w:t>
            </w:r>
          </w:p>
        </w:tc>
      </w:tr>
    </w:tbl>
    <w:p/>
    <w:p>
      <w:r>
        <w:rPr>
          <w:b/>
        </w:rPr>
        <w:t>Escenarios de escala (margen de contribución, antes de fijos):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Locales activos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Margen contrib. (catálogo licenciado)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Margen contrib. (zona gris)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~$18,7M/mes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~$22,7M/mes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150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~$56M/mes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~$68M/mes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~$150M/mes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~$182M/mes</w:t>
            </w:r>
          </w:p>
        </w:tc>
      </w:tr>
    </w:tbl>
    <w:p/>
    <w:p>
      <w:r>
        <w:t xml:space="preserve">→ Con ~50–80 locales </w:t>
      </w:r>
      <w:r>
        <w:rPr>
          <w:b/>
        </w:rPr>
        <w:t>activos</w:t>
      </w:r>
      <w:r>
        <w:t xml:space="preserve"> (no solo registrados) el negocio empieza a cubrir costos fijos de un equipo pequeño. </w:t>
      </w:r>
      <w:r>
        <w:rPr>
          <w:b/>
        </w:rPr>
        <w:t>La métrica clave no es locales registrados sino prioridades pagadas/noche.</w:t>
      </w:r>
    </w:p>
    <w:p>
      <w:r>
        <w:rPr>
          <w:b/>
        </w:rPr>
        <w:t>Sensibilidades a validar:</w:t>
      </w:r>
      <w:r>
        <w:t xml:space="preserve"> precio por prioridad, % de clientes que pagan, # de noches activas, split con el comercio.</w:t>
      </w:r>
    </w:p>
    <w:p>
      <w:pPr>
        <w:pStyle w:val="Heading2"/>
      </w:pPr>
      <w:r>
        <w:t>8. Nichos desatendidos (ventaja de entrada)</w:t>
      </w:r>
    </w:p>
    <w:p>
      <w:r>
        <w:t>En lugar de pelear con Melao en bares de Medellín, entrar por donde nadie atiende: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Nicho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Por qué encaja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Gimnasios / boxes de crossfit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música central, clientes jóvenes, "quiero que suene mi canción"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alto engagement, ambiente competitivo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Cafés / coworkings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ambiente importa, público dispuesto a micropagar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ticket bajo pero recurrente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Peluquerías / barberías / spa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espera = tiempo muerto monetizable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sesiones largas</w:t>
            </w:r>
          </w:p>
        </w:tc>
      </w:tr>
      <w:tr>
        <w:tc>
          <w:tcPr>
            <w:tcW w:type="dxa" w:w="2880"/>
            <w:shd w:val="clear" w:color="auto" w:fill="EAF1F8"/>
          </w:tcPr>
          <w:p>
            <w:r>
              <w:rPr>
                <w:b/>
                <w:sz w:val="19"/>
              </w:rPr>
              <w:t>Food courts / cervecerías artesanales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mucha gente, rotación</w:t>
            </w:r>
          </w:p>
        </w:tc>
        <w:tc>
          <w:tcPr>
            <w:tcW w:type="dxa" w:w="2880"/>
            <w:shd w:val="clear" w:color="auto" w:fill="EAF1F8"/>
          </w:tcPr>
          <w:p>
            <w:r>
              <w:rPr>
                <w:sz w:val="19"/>
              </w:rPr>
              <w:t>volumen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Salas de espera / lavanderías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tiempo muerto, cero competencia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ticket bajo</w:t>
            </w:r>
          </w:p>
        </w:tc>
      </w:tr>
    </w:tbl>
    <w:p/>
    <w:p>
      <w:r>
        <w:t xml:space="preserve">Estrategia: elegir </w:t>
      </w:r>
      <w:r>
        <w:rPr>
          <w:b/>
        </w:rPr>
        <w:t>1 nicho</w:t>
      </w:r>
      <w:r>
        <w:t xml:space="preserve"> para el piloto, dominarlo, y expandir.</w:t>
      </w:r>
    </w:p>
    <w:p>
      <w:r>
        <w:rPr>
          <w:i/>
          <w:color w:val="555555"/>
          <w:sz w:val="20"/>
        </w:rPr>
        <w:t>Ventaja: en nichos no-bar el "control del estilo" del dueño es aún más valioso y la competencia (Melao/Apollo) no está presente.</w:t>
      </w:r>
    </w:p>
    <w:p>
      <w:pPr>
        <w:pStyle w:val="Heading2"/>
      </w:pPr>
      <w:r>
        <w:t>9. Riesgos específicos de este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Mitigación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Cartera</w:t>
            </w:r>
            <w:r>
              <w:rPr>
                <w:b/>
                <w:sz w:val="19"/>
              </w:rPr>
              <w:t>: el comercio no liquida lo recaudado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Liquidación frecuente, garantía pequeña, corte por mora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r>
              <w:rPr>
                <w:b/>
                <w:sz w:val="19"/>
              </w:rPr>
              <w:t>Pocos pagan</w:t>
            </w:r>
            <w:r>
              <w:rPr>
                <w:b/>
                <w:sz w:val="19"/>
              </w:rPr>
              <w:t xml:space="preserve"> → ingreso depende 100% de prioridades</w:t>
            </w:r>
          </w:p>
        </w:tc>
        <w:tc>
          <w:tcPr>
            <w:tcW w:type="dxa" w:w="4320"/>
            <w:shd w:val="clear" w:color="auto" w:fill="EAF1F8"/>
          </w:tcPr>
          <w:p>
            <w:r>
              <w:rPr>
                <w:sz w:val="19"/>
              </w:rPr>
              <w:t>Fallback random mantiene el servicio; validar willingness-to-pay en campo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Disputas en la cuenta</w:t>
            </w:r>
            <w:r>
              <w:rPr>
                <w:b/>
                <w:sz w:val="19"/>
              </w:rPr>
              <w:t xml:space="preserve"> ("yo no pedí esa canción")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Confirmación clara al pedir, registro, límite por usuario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r>
              <w:rPr>
                <w:b/>
                <w:sz w:val="19"/>
              </w:rPr>
              <w:t>Fuente legal</w:t>
            </w:r>
            <w:r>
              <w:rPr>
                <w:b/>
                <w:sz w:val="19"/>
              </w:rPr>
              <w:t xml:space="preserve"> encarece o se prohíbe (Spotify/YouTube)</w:t>
            </w:r>
          </w:p>
        </w:tc>
        <w:tc>
          <w:tcPr>
            <w:tcW w:type="dxa" w:w="4320"/>
            <w:shd w:val="clear" w:color="auto" w:fill="EAF1F8"/>
          </w:tcPr>
          <w:p>
            <w:r>
              <w:rPr>
                <w:sz w:val="19"/>
              </w:rPr>
              <w:t>Resolver §4 con catálogo licenciado antes de escalar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Estacionalidad/noches flojas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Modelo sin costo fijo para el comercio aguanta meses bajos</w:t>
            </w:r>
          </w:p>
        </w:tc>
      </w:tr>
    </w:tbl>
    <w:p/>
    <w:p>
      <w:pPr>
        <w:pStyle w:val="Heading2"/>
      </w:pPr>
      <w:r>
        <w:t>10. Decisiones abiertas (a resolver antes del MVP)</w:t>
      </w:r>
    </w:p>
    <w:p>
      <w:pPr>
        <w:pStyle w:val="ListNumber"/>
      </w:pPr>
      <w:r>
        <w:rPr>
          <w:b/>
        </w:rPr>
        <w:t>Split comercio/TYM</w:t>
      </w:r>
      <w:r>
        <w:t xml:space="preserve"> (¿30/70? ¿40/60?) — define adopción y margen.</w:t>
      </w:r>
    </w:p>
    <w:p>
      <w:pPr>
        <w:pStyle w:val="ListNumber"/>
      </w:pPr>
      <w:r>
        <w:rPr>
          <w:b/>
        </w:rPr>
        <w:t>Precio por prioridad</w:t>
      </w:r>
      <w:r>
        <w:t xml:space="preserve"> y si es </w:t>
      </w:r>
      <w:r>
        <w:rPr>
          <w:b/>
        </w:rPr>
        <w:t>fijo o dinámico</w:t>
      </w:r>
      <w:r>
        <w:t xml:space="preserve"> (sube con la cola).</w:t>
      </w:r>
    </w:p>
    <w:p>
      <w:pPr>
        <w:pStyle w:val="ListNumber"/>
      </w:pPr>
      <w:r>
        <w:rPr>
          <w:b/>
        </w:rPr>
        <w:t>"Sistema intermedio" de legalidad</w:t>
      </w:r>
      <w:r>
        <w:t xml:space="preserve"> — definir con abogado PI Colombia + decidir fuente.</w:t>
      </w:r>
    </w:p>
    <w:p>
      <w:pPr>
        <w:pStyle w:val="ListNumber"/>
      </w:pPr>
      <w:r>
        <w:rPr>
          <w:b/>
        </w:rPr>
        <w:t>Nicho del piloto</w:t>
      </w:r>
      <w:r>
        <w:t xml:space="preserve"> (recomiendo elegir uno).</w:t>
      </w:r>
    </w:p>
    <w:p>
      <w:pPr>
        <w:pStyle w:val="ListNumber"/>
      </w:pPr>
      <w:r>
        <w:rPr>
          <w:b/>
        </w:rPr>
        <w:t>Frecuencia de liquidación</w:t>
      </w:r>
      <w:r>
        <w:t xml:space="preserve"> y mecanismo anti-cartera.</w:t>
      </w:r>
    </w:p>
    <w:p>
      <w:pPr>
        <w:pStyle w:val="Heading2"/>
      </w:pPr>
      <w:r>
        <w:t>Fuentes nuevas</w:t>
      </w:r>
    </w:p>
    <w:p>
      <w:pPr>
        <w:pStyle w:val="ListBullet"/>
      </w:pPr>
      <w:r>
        <w:t>Pasarelas Colombia: wompi.com/es/co/planes-tarifas, soporte.wompi.co, btodigital.com, guiadesoftware.com</w:t>
      </w:r>
    </w:p>
    <w:p>
      <w:pPr>
        <w:pStyle w:val="ListBullet"/>
      </w:pPr>
      <w:r>
        <w:t>Catálogo música legal: soundtrack.io/es/pricing, jamendo licensing, epidemicsound.com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