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Arsenic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2024-06-13</w:t>
      </w:r>
    </w:p>
    <w:bookmarkStart w:id="20" w:name="predictor-variable-descriptions"/>
    <w:p>
      <w:pPr>
        <w:pStyle w:val="Heading1"/>
      </w:pPr>
      <w:r>
        <w:t xml:space="preserve">Predictor variable descriptions</w:t>
      </w:r>
    </w:p>
    <w:p>
      <w:pPr>
        <w:pStyle w:val="SourceCode"/>
      </w:pPr>
      <w:r>
        <w:rPr>
          <w:rStyle w:val="NormalTok"/>
        </w:rPr>
        <w:t xml:space="preserve">NameDescription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Predictor_name,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Description)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(NameDescription)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19"/>
        <w:gridCol w:w="75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data.Predictor_name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data.Description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rt_clast_u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Generalized lithology classified as CLAST_U: sediments and sedimentary rocks. Clastic sediments/rocks of unknown or highly variable clast sizes.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rt_meta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Generalized lithology classified as META: Metamorphic rocks.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rt_plut_qtz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Generalized lithology classified as PLUT_QTZ: Igneous, generally felsic, quartz-rich plutonic rocks such as granitoids, granite, granodacite. Lithology of plutonics and volcanics are split out based on quartz content using the IUGS classification presented in Hyndman’s</w:t>
            </w:r>
            <w:r>
              <w:t xml:space="preserve"> </w:t>
            </w:r>
            <w:r>
              <w:t xml:space="preserve">‘</w:t>
            </w:r>
            <w:r>
              <w:t xml:space="preserve">Petrology of Igneous and Metamorphic Rocks</w:t>
            </w:r>
            <w:r>
              <w:t xml:space="preserve">’</w:t>
            </w:r>
            <w:r>
              <w:t xml:space="preserve"> </w:t>
            </w:r>
            <w:r>
              <w:t xml:space="preserve">second edition, 1985, page 33, fields 1-5.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PRMS8110Re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annual recharge to groundwater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Lateral position for fourth order streams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(data)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"/>
        <w:gridCol w:w="199"/>
        <w:gridCol w:w="4757"/>
        <w:gridCol w:w="332"/>
        <w:gridCol w:w="425"/>
        <w:gridCol w:w="132"/>
        <w:gridCol w:w="279"/>
        <w:gridCol w:w="199"/>
        <w:gridCol w:w="159"/>
        <w:gridCol w:w="318"/>
        <w:gridCol w:w="106"/>
        <w:gridCol w:w="186"/>
        <w:gridCol w:w="186"/>
        <w:gridCol w:w="252"/>
        <w:gridCol w:w="172"/>
        <w:gridCol w:w="17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Predictor_name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Category_levels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Categorical.observation.amounts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Missing_values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Time_period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X25..Quartile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X75..Quartile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Standard.Deviation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rt_clast_u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Generalized lithology classified as CLAST_U: sediments and sedimentary rocks. Clastic sediments/rocks of unknown or highly variable clast sizes.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(present) ; 0 (absent)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= 16287 1 = 4163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NA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Anning and Ator (2017)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0.4026624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rt_meta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Generalized lithology classified as META: Metamorphic rocks.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(present) ; 0 (absent)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= 18520 1 = 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NA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Anning and Ator (2017)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0.2923590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rt_plut_qtz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Generalized lithology classified as PLUT_QTZ: Igneous, generally felsic, quartz-rich plutonic rocks such as granitoids, granite, granodacite. Lithology of plutonics and volcanics are split out based on quartz content using the IUGS classification presented in Hyndman’s</w:t>
            </w:r>
            <w:r>
              <w:t xml:space="preserve"> </w:t>
            </w:r>
            <w:r>
              <w:t xml:space="preserve">‘</w:t>
            </w:r>
            <w:r>
              <w:t xml:space="preserve">Petrology of Igneous and Metamorphic Rocks</w:t>
            </w:r>
            <w:r>
              <w:t xml:space="preserve">’</w:t>
            </w:r>
            <w:r>
              <w:t xml:space="preserve"> </w:t>
            </w:r>
            <w:r>
              <w:t xml:space="preserve">second edition, 1985, page 33, fields 1-5.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(present) ; 0 (absent)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= 19475 1 = 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NA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Anning and Ator (2017)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0.2130877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PRMS8110Re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annual recharge to groundwater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millimeters per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NA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1981-2010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Hay (2019)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19.26016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175.8661000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9.994490E+00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0.000000E+00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Lateral position for fourth order streams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 times 100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Moore and others (2019)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2616.25000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7944.0000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3005.1600000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20"/>
    <w:bookmarkStart w:id="21" w:name="predictor-variable-descriptions2"/>
    <w:p>
      <w:pPr>
        <w:pStyle w:val="Heading1"/>
      </w:pPr>
      <w:r>
        <w:t xml:space="preserve">Predictor variable descriptions2</w:t>
      </w:r>
    </w:p>
    <w:p>
      <w:pPr>
        <w:pStyle w:val="FirstParagraph"/>
      </w:pPr>
      <w:r>
        <w:rPr>
          <w:bCs/>
          <w:b/>
        </w:rPr>
        <w:t xml:space="preserve">rt_clast_u</w:t>
      </w:r>
      <w:r>
        <w:t xml:space="preserve">: Generalized lithology classified as CLAST_U: sediments</w:t>
      </w:r>
      <w:r>
        <w:t xml:space="preserve"> </w:t>
      </w:r>
      <w:r>
        <w:t xml:space="preserve">and sedimentary rocks. Clastic sediments/rocks of unknown or highly</w:t>
      </w:r>
      <w:r>
        <w:t xml:space="preserve"> </w:t>
      </w:r>
      <w:r>
        <w:t xml:space="preserve">variable clast sizes.</w:t>
      </w:r>
    </w:p>
    <w:p>
      <w:pPr>
        <w:pStyle w:val="BodyText"/>
      </w:pPr>
      <w:r>
        <w:rPr>
          <w:bCs/>
          <w:b/>
        </w:rPr>
        <w:t xml:space="preserve">rt_meta</w:t>
      </w:r>
      <w:r>
        <w:t xml:space="preserve">:Generalized lithology classified as META: Metamorphic rocks.</w:t>
      </w:r>
    </w:p>
    <w:p>
      <w:pPr>
        <w:pStyle w:val="BodyText"/>
      </w:pPr>
      <w:r>
        <w:rPr>
          <w:bCs/>
          <w:b/>
        </w:rPr>
        <w:t xml:space="preserve">rt_plut_qtz</w:t>
      </w:r>
      <w:r>
        <w:t xml:space="preserve">: Generalized lithology classified as PLUT_QTZ: Igneous,</w:t>
      </w:r>
      <w:r>
        <w:t xml:space="preserve"> </w:t>
      </w:r>
      <w:r>
        <w:t xml:space="preserve">generally felsic, quartz-rich plutonic rocks such as granitoids,</w:t>
      </w:r>
      <w:r>
        <w:t xml:space="preserve"> </w:t>
      </w:r>
      <w:r>
        <w:t xml:space="preserve">granite, granodacite. Lithology of plutonics and volcanics are split out</w:t>
      </w:r>
      <w:r>
        <w:t xml:space="preserve"> </w:t>
      </w:r>
      <w:r>
        <w:t xml:space="preserve">based on quartz content using the IUGS classification presented in</w:t>
      </w:r>
      <w:r>
        <w:t xml:space="preserve"> </w:t>
      </w:r>
      <w:r>
        <w:t xml:space="preserve">Hyndman’s</w:t>
      </w:r>
      <w:r>
        <w:t xml:space="preserve"> </w:t>
      </w:r>
      <w:r>
        <w:t xml:space="preserve">‘</w:t>
      </w:r>
      <w:r>
        <w:t xml:space="preserve">Petrology of Igneous and Metamorphic Rocks</w:t>
      </w:r>
      <w:r>
        <w:t xml:space="preserve">’</w:t>
      </w:r>
      <w:r>
        <w:t xml:space="preserve"> </w:t>
      </w:r>
      <w:r>
        <w:t xml:space="preserve">second edition,</w:t>
      </w:r>
      <w:r>
        <w:t xml:space="preserve"> </w:t>
      </w:r>
      <w:r>
        <w:t xml:space="preserve">1985, page 33, fields 1-5.</w:t>
      </w:r>
    </w:p>
    <w:p>
      <w:pPr>
        <w:pStyle w:val="BodyText"/>
      </w:pPr>
      <w:r>
        <w:rPr>
          <w:bCs/>
          <w:b/>
        </w:rPr>
        <w:t xml:space="preserve">PRMS8110Re</w:t>
      </w:r>
      <w:r>
        <w:t xml:space="preserve">: average annual recharge to groundwater.</w:t>
      </w:r>
    </w:p>
    <w:p>
      <w:pPr>
        <w:pStyle w:val="BodyText"/>
      </w:pPr>
      <w:r>
        <w:rPr>
          <w:bCs/>
          <w:b/>
        </w:rPr>
        <w:t xml:space="preserve">LP2</w:t>
      </w:r>
      <w:r>
        <w:t xml:space="preserve">: Lateral position for fourth order streams</w:t>
      </w:r>
    </w:p>
    <w:p>
      <w:pPr>
        <w:pStyle w:val="SourceCode"/>
      </w:pPr>
      <w:r>
        <w:rPr>
          <w:rStyle w:val="NormalTok"/>
        </w:rPr>
        <w:t xml:space="preserve">NameMax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Predictor_name,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(NameMax)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data.Predictor_name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data.Max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rt_clast_u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rt_meta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rt_plut_qtz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PRMS8110Re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9.994490E+00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NameMin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Predictor_name,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(NameMin)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data.Predictor_name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data.Min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rt_clast_u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rt_meta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rt_plut_qtz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PRMS8110Re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0.000000E+00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Arsenic data</dc:title>
  <dc:creator/>
  <cp:keywords/>
  <dcterms:created xsi:type="dcterms:W3CDTF">2024-06-14T15:36:41Z</dcterms:created>
  <dcterms:modified xsi:type="dcterms:W3CDTF">2024-06-14T15:36:41Z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