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07D" w:rsidRPr="0099271C" w:rsidRDefault="00885214" w:rsidP="0099271C">
      <w:pPr>
        <w:tabs>
          <w:tab w:val="left" w:pos="7200"/>
          <w:tab w:val="left" w:pos="8640"/>
        </w:tabs>
        <w:spacing w:line="276" w:lineRule="auto"/>
        <w:jc w:val="center"/>
        <w:rPr>
          <w:rFonts w:ascii="Minion Pro light" w:hAnsi="Minion Pro light" w:cs="Sylfaen"/>
          <w:sz w:val="32"/>
          <w:szCs w:val="22"/>
        </w:rPr>
      </w:pPr>
      <w:r w:rsidRPr="0099271C">
        <w:rPr>
          <w:rFonts w:ascii="Minion Pro light" w:eastAsia="Merriweather" w:hAnsi="Minion Pro light" w:cs="Sylfaen"/>
          <w:sz w:val="32"/>
          <w:szCs w:val="22"/>
        </w:rPr>
        <w:t>CHAPTER 3</w:t>
      </w:r>
    </w:p>
    <w:p w:rsidR="00C4107D" w:rsidRPr="0099271C" w:rsidRDefault="00885214" w:rsidP="0099271C">
      <w:pPr>
        <w:pBdr>
          <w:bottom w:val="single" w:sz="4" w:space="1" w:color="000000"/>
        </w:pBdr>
        <w:tabs>
          <w:tab w:val="left" w:pos="7200"/>
          <w:tab w:val="left" w:pos="8640"/>
        </w:tabs>
        <w:spacing w:line="276" w:lineRule="auto"/>
        <w:jc w:val="center"/>
        <w:rPr>
          <w:rFonts w:ascii="Minion Pro light" w:hAnsi="Minion Pro light" w:cs="Sylfaen"/>
          <w:sz w:val="32"/>
          <w:szCs w:val="22"/>
        </w:rPr>
      </w:pPr>
      <w:r w:rsidRPr="0099271C">
        <w:rPr>
          <w:rFonts w:ascii="Minion Pro light" w:eastAsia="Merriweather" w:hAnsi="Minion Pro light" w:cs="Sylfaen"/>
          <w:b/>
          <w:sz w:val="32"/>
          <w:szCs w:val="22"/>
        </w:rPr>
        <w:t>EDUCATION</w:t>
      </w:r>
    </w:p>
    <w:p w:rsidR="00C4107D" w:rsidRPr="0099271C" w:rsidRDefault="00C4107D" w:rsidP="0099271C">
      <w:pPr>
        <w:spacing w:line="264" w:lineRule="auto"/>
        <w:rPr>
          <w:rFonts w:ascii="Minion Pro" w:eastAsia="Merriweather" w:hAnsi="Minion Pro" w:cs="Sylfaen"/>
          <w:sz w:val="22"/>
          <w:szCs w:val="22"/>
        </w:rPr>
      </w:pPr>
    </w:p>
    <w:p w:rsidR="00C4107D" w:rsidRPr="0099271C" w:rsidRDefault="00885214" w:rsidP="0099271C">
      <w:pPr>
        <w:rPr>
          <w:rFonts w:ascii="Minion Pro" w:hAnsi="Minion Pro" w:cs="Sylfaen"/>
          <w:sz w:val="22"/>
          <w:szCs w:val="22"/>
        </w:rPr>
      </w:pPr>
      <w:r w:rsidRPr="0099271C">
        <w:rPr>
          <w:rFonts w:ascii="Minion Pro" w:eastAsia="Merriweather" w:hAnsi="Minion Pro" w:cs="Sylfaen"/>
          <w:sz w:val="22"/>
          <w:szCs w:val="22"/>
        </w:rPr>
        <w:t xml:space="preserve">The modern education system in Bhutan was introduced with the initiation of economic development plans in 1961. The Education system today has three main forms: General education, Monastic education and Non-Formal education. Monastic </w:t>
      </w:r>
      <w:r w:rsidRPr="0099271C">
        <w:rPr>
          <w:rFonts w:ascii="Minion Pro" w:eastAsia="Merriweather" w:hAnsi="Minion Pro" w:cs="Sylfaen"/>
          <w:sz w:val="22"/>
          <w:szCs w:val="22"/>
        </w:rPr>
        <w:t>education was the only form of education till the 1950s and continues till date. There are now an extensive network of schools and other educational institutions spread throughout the country. Many schools also provide boarding facilities for students livi</w:t>
      </w:r>
      <w:r w:rsidRPr="0099271C">
        <w:rPr>
          <w:rFonts w:ascii="Minion Pro" w:eastAsia="Merriweather" w:hAnsi="Minion Pro" w:cs="Sylfaen"/>
          <w:sz w:val="22"/>
          <w:szCs w:val="22"/>
        </w:rPr>
        <w:t>ng in areas far from the school with meals provided by the government.</w:t>
      </w:r>
    </w:p>
    <w:p w:rsidR="00C4107D" w:rsidRPr="0099271C" w:rsidRDefault="00C4107D" w:rsidP="0099271C">
      <w:pPr>
        <w:rPr>
          <w:rFonts w:ascii="Minion Pro" w:eastAsia="Merriweather" w:hAnsi="Minion Pro" w:cs="Sylfaen"/>
          <w:sz w:val="22"/>
          <w:szCs w:val="22"/>
        </w:rPr>
      </w:pPr>
    </w:p>
    <w:p w:rsidR="00C4107D" w:rsidRPr="0099271C" w:rsidRDefault="00885214" w:rsidP="0099271C">
      <w:pPr>
        <w:rPr>
          <w:rFonts w:ascii="Minion Pro" w:hAnsi="Minion Pro" w:cs="Sylfaen"/>
          <w:sz w:val="22"/>
          <w:szCs w:val="22"/>
        </w:rPr>
      </w:pPr>
      <w:r w:rsidRPr="0099271C">
        <w:rPr>
          <w:rFonts w:ascii="Minion Pro" w:eastAsia="Merriweather" w:hAnsi="Minion Pro" w:cs="Sylfaen"/>
          <w:sz w:val="22"/>
          <w:szCs w:val="22"/>
        </w:rPr>
        <w:t>Students spend a total of seven years in Primary education (PP-VI); two years in Lower Secondary (VII-VIII); two years in Middle Secondary (IX-X); and two years in Higher Secondary (XI</w:t>
      </w:r>
      <w:r w:rsidRPr="0099271C">
        <w:rPr>
          <w:rFonts w:ascii="Minion Pro" w:eastAsia="Merriweather" w:hAnsi="Minion Pro" w:cs="Sylfaen"/>
          <w:sz w:val="22"/>
          <w:szCs w:val="22"/>
        </w:rPr>
        <w:t>-XII). The constitution mandates free basic education for all citizens in Bhutan till grade X. However, support for education until grade XII has been introduced by the Government in 2020. Beyond the 12</w:t>
      </w:r>
      <w:r w:rsidRPr="0099271C">
        <w:rPr>
          <w:rFonts w:ascii="Minion Pro" w:eastAsia="Merriweather" w:hAnsi="Minion Pro" w:cs="Sylfaen"/>
          <w:sz w:val="22"/>
          <w:szCs w:val="22"/>
          <w:vertAlign w:val="superscript"/>
        </w:rPr>
        <w:t>th</w:t>
      </w:r>
      <w:r w:rsidRPr="0099271C">
        <w:rPr>
          <w:rFonts w:ascii="Minion Pro" w:eastAsia="Merriweather" w:hAnsi="Minion Pro" w:cs="Sylfaen"/>
          <w:sz w:val="22"/>
          <w:szCs w:val="22"/>
        </w:rPr>
        <w:t xml:space="preserve"> standard, students either continue their tertiary e</w:t>
      </w:r>
      <w:r w:rsidRPr="0099271C">
        <w:rPr>
          <w:rFonts w:ascii="Minion Pro" w:eastAsia="Merriweather" w:hAnsi="Minion Pro" w:cs="Sylfaen"/>
          <w:sz w:val="22"/>
          <w:szCs w:val="22"/>
        </w:rPr>
        <w:t xml:space="preserve">ducation in institutes and universities or join the vocational training institutes or enter the </w:t>
      </w:r>
      <w:proofErr w:type="spellStart"/>
      <w:r w:rsidRPr="0099271C">
        <w:rPr>
          <w:rFonts w:ascii="Minion Pro" w:eastAsia="Merriweather" w:hAnsi="Minion Pro" w:cs="Sylfaen"/>
          <w:sz w:val="22"/>
          <w:szCs w:val="22"/>
        </w:rPr>
        <w:t>labour</w:t>
      </w:r>
      <w:proofErr w:type="spellEnd"/>
      <w:r w:rsidRPr="0099271C">
        <w:rPr>
          <w:rFonts w:ascii="Minion Pro" w:eastAsia="Merriweather" w:hAnsi="Minion Pro" w:cs="Sylfaen"/>
          <w:sz w:val="22"/>
          <w:szCs w:val="22"/>
        </w:rPr>
        <w:t xml:space="preserve"> market within or outside the country. Since 2020, the official school going age for children has been revised to age five from six.</w:t>
      </w:r>
    </w:p>
    <w:p w:rsidR="00C4107D" w:rsidRPr="0099271C" w:rsidRDefault="00C4107D" w:rsidP="0099271C">
      <w:pPr>
        <w:rPr>
          <w:rFonts w:ascii="Minion Pro" w:eastAsia="Merriweather" w:hAnsi="Minion Pro" w:cs="Sylfaen"/>
          <w:sz w:val="22"/>
          <w:szCs w:val="22"/>
        </w:rPr>
      </w:pPr>
    </w:p>
    <w:p w:rsidR="00C4107D" w:rsidRPr="0099271C" w:rsidRDefault="00885214" w:rsidP="0099271C">
      <w:pPr>
        <w:rPr>
          <w:rFonts w:ascii="Minion Pro" w:hAnsi="Minion Pro" w:cs="Sylfaen"/>
          <w:sz w:val="22"/>
          <w:szCs w:val="22"/>
        </w:rPr>
      </w:pPr>
      <w:r w:rsidRPr="0099271C">
        <w:rPr>
          <w:rFonts w:ascii="Minion Pro" w:eastAsia="Merriweather" w:hAnsi="Minion Pro" w:cs="Sylfaen"/>
          <w:sz w:val="22"/>
          <w:szCs w:val="22"/>
        </w:rPr>
        <w:t>The medium of instru</w:t>
      </w:r>
      <w:r w:rsidRPr="0099271C">
        <w:rPr>
          <w:rFonts w:ascii="Minion Pro" w:eastAsia="Merriweather" w:hAnsi="Minion Pro" w:cs="Sylfaen"/>
          <w:sz w:val="22"/>
          <w:szCs w:val="22"/>
        </w:rPr>
        <w:t>ction in the schools are Dzongkha (national language) and English. Besides covering all the General Education Curriculum required for a particular grade, students also engage in co-curricular activities such as in sports, scouts, singing, dancing, painting</w:t>
      </w:r>
      <w:r w:rsidRPr="0099271C">
        <w:rPr>
          <w:rFonts w:ascii="Minion Pro" w:eastAsia="Merriweather" w:hAnsi="Minion Pro" w:cs="Sylfaen"/>
          <w:sz w:val="22"/>
          <w:szCs w:val="22"/>
        </w:rPr>
        <w:t>, arts, etc.</w:t>
      </w:r>
    </w:p>
    <w:p w:rsidR="00C4107D" w:rsidRPr="0099271C" w:rsidRDefault="00C4107D" w:rsidP="0099271C">
      <w:pPr>
        <w:rPr>
          <w:rFonts w:ascii="Minion Pro" w:eastAsia="Merriweather" w:hAnsi="Minion Pro" w:cs="Sylfaen"/>
          <w:sz w:val="22"/>
          <w:szCs w:val="22"/>
        </w:rPr>
      </w:pPr>
    </w:p>
    <w:p w:rsidR="00C4107D" w:rsidRPr="0099271C" w:rsidRDefault="00885214" w:rsidP="0099271C">
      <w:pPr>
        <w:rPr>
          <w:rFonts w:ascii="Minion Pro" w:hAnsi="Minion Pro" w:cs="Sylfaen"/>
          <w:sz w:val="22"/>
          <w:szCs w:val="22"/>
        </w:rPr>
      </w:pPr>
      <w:r w:rsidRPr="0099271C">
        <w:rPr>
          <w:rFonts w:ascii="Minion Pro" w:eastAsia="Merriweather" w:hAnsi="Minion Pro" w:cs="Sylfaen"/>
          <w:sz w:val="22"/>
          <w:szCs w:val="22"/>
        </w:rPr>
        <w:t xml:space="preserve">Besides the modern education system, there are large numbers of traditional institutions offering education to children in Monasteries, </w:t>
      </w:r>
      <w:proofErr w:type="spellStart"/>
      <w:r w:rsidRPr="0099271C">
        <w:rPr>
          <w:rFonts w:ascii="Minion Pro" w:eastAsia="Merriweather" w:hAnsi="Minion Pro" w:cs="Sylfaen"/>
          <w:sz w:val="22"/>
          <w:szCs w:val="22"/>
        </w:rPr>
        <w:t>Drupdras</w:t>
      </w:r>
      <w:proofErr w:type="spellEnd"/>
      <w:r w:rsidRPr="0099271C">
        <w:rPr>
          <w:rFonts w:ascii="Minion Pro" w:eastAsia="Merriweather" w:hAnsi="Minion Pro" w:cs="Sylfaen"/>
          <w:sz w:val="22"/>
          <w:szCs w:val="22"/>
        </w:rPr>
        <w:t xml:space="preserve"> and </w:t>
      </w:r>
      <w:proofErr w:type="spellStart"/>
      <w:r w:rsidRPr="0099271C">
        <w:rPr>
          <w:rFonts w:ascii="Minion Pro" w:eastAsia="Merriweather" w:hAnsi="Minion Pro" w:cs="Sylfaen"/>
          <w:sz w:val="22"/>
          <w:szCs w:val="22"/>
        </w:rPr>
        <w:t>Shedras</w:t>
      </w:r>
      <w:proofErr w:type="spellEnd"/>
      <w:r w:rsidRPr="0099271C">
        <w:rPr>
          <w:rFonts w:ascii="Minion Pro" w:eastAsia="Merriweather" w:hAnsi="Minion Pro" w:cs="Sylfaen"/>
          <w:sz w:val="22"/>
          <w:szCs w:val="22"/>
        </w:rPr>
        <w:t>.</w:t>
      </w:r>
    </w:p>
    <w:p w:rsidR="00C4107D" w:rsidRPr="0099271C" w:rsidRDefault="00C4107D" w:rsidP="0099271C">
      <w:pPr>
        <w:rPr>
          <w:rFonts w:ascii="Minion Pro" w:eastAsia="Merriweather" w:hAnsi="Minion Pro" w:cs="Sylfaen"/>
          <w:sz w:val="22"/>
          <w:szCs w:val="22"/>
        </w:rPr>
      </w:pPr>
    </w:p>
    <w:p w:rsidR="00C4107D" w:rsidRPr="0099271C" w:rsidRDefault="00885214" w:rsidP="0099271C">
      <w:pPr>
        <w:rPr>
          <w:rFonts w:ascii="Minion Pro" w:eastAsia="Merriweather" w:hAnsi="Minion Pro" w:cs="Sylfaen"/>
          <w:sz w:val="22"/>
          <w:szCs w:val="22"/>
        </w:rPr>
      </w:pPr>
      <w:r w:rsidRPr="0099271C">
        <w:rPr>
          <w:rFonts w:ascii="Minion Pro" w:eastAsia="Merriweather" w:hAnsi="Minion Pro" w:cs="Sylfaen"/>
          <w:sz w:val="22"/>
          <w:szCs w:val="22"/>
        </w:rPr>
        <w:t xml:space="preserve">Non-Formal Education (NFE) </w:t>
      </w:r>
      <w:proofErr w:type="spellStart"/>
      <w:r w:rsidRPr="0099271C">
        <w:rPr>
          <w:rFonts w:ascii="Minion Pro" w:eastAsia="Merriweather" w:hAnsi="Minion Pro" w:cs="Sylfaen"/>
          <w:sz w:val="22"/>
          <w:szCs w:val="22"/>
        </w:rPr>
        <w:t>programme</w:t>
      </w:r>
      <w:proofErr w:type="spellEnd"/>
      <w:r w:rsidRPr="0099271C">
        <w:rPr>
          <w:rFonts w:ascii="Minion Pro" w:eastAsia="Merriweather" w:hAnsi="Minion Pro" w:cs="Sylfaen"/>
          <w:sz w:val="22"/>
          <w:szCs w:val="22"/>
        </w:rPr>
        <w:t xml:space="preserve"> has gained widespread popularity as an effecti</w:t>
      </w:r>
      <w:r w:rsidRPr="0099271C">
        <w:rPr>
          <w:rFonts w:ascii="Minion Pro" w:eastAsia="Merriweather" w:hAnsi="Minion Pro" w:cs="Sylfaen"/>
          <w:sz w:val="22"/>
          <w:szCs w:val="22"/>
        </w:rPr>
        <w:t xml:space="preserve">ve </w:t>
      </w:r>
      <w:proofErr w:type="spellStart"/>
      <w:r w:rsidRPr="0099271C">
        <w:rPr>
          <w:rFonts w:ascii="Minion Pro" w:eastAsia="Merriweather" w:hAnsi="Minion Pro" w:cs="Sylfaen"/>
          <w:sz w:val="22"/>
          <w:szCs w:val="22"/>
        </w:rPr>
        <w:t>programme</w:t>
      </w:r>
      <w:proofErr w:type="spellEnd"/>
      <w:r w:rsidRPr="0099271C">
        <w:rPr>
          <w:rFonts w:ascii="Minion Pro" w:eastAsia="Merriweather" w:hAnsi="Minion Pro" w:cs="Sylfaen"/>
          <w:sz w:val="22"/>
          <w:szCs w:val="22"/>
        </w:rPr>
        <w:t xml:space="preserve"> for providing basic literacy, numeracy and functional skills </w:t>
      </w:r>
      <w:r w:rsidRPr="0099271C">
        <w:rPr>
          <w:rFonts w:ascii="Minion Pro" w:eastAsia="Merriweather" w:hAnsi="Minion Pro" w:cs="Sylfaen"/>
          <w:sz w:val="22"/>
          <w:szCs w:val="22"/>
        </w:rPr>
        <w:t>among</w:t>
      </w:r>
      <w:r w:rsidRPr="0099271C">
        <w:rPr>
          <w:rFonts w:ascii="Minion Pro" w:eastAsia="Merriweather" w:hAnsi="Minion Pro" w:cs="Sylfaen"/>
          <w:sz w:val="22"/>
          <w:szCs w:val="22"/>
        </w:rPr>
        <w:t xml:space="preserve"> the adult population. It was first established formally in 1992. Basic reading, writing and numeric skills are taught to enhance their livelihood and better manage day-to-day a</w:t>
      </w:r>
      <w:r w:rsidRPr="0099271C">
        <w:rPr>
          <w:rFonts w:ascii="Minion Pro" w:eastAsia="Merriweather" w:hAnsi="Minion Pro" w:cs="Sylfaen"/>
          <w:sz w:val="22"/>
          <w:szCs w:val="22"/>
        </w:rPr>
        <w:t>ctivities.</w:t>
      </w:r>
    </w:p>
    <w:p w:rsidR="00C4107D" w:rsidRPr="0099271C" w:rsidRDefault="00885214" w:rsidP="0099271C">
      <w:pPr>
        <w:pStyle w:val="NormalWeb"/>
        <w:spacing w:beforeAutospacing="0" w:afterAutospacing="0" w:line="18" w:lineRule="atLeast"/>
        <w:rPr>
          <w:rFonts w:ascii="Minion Pro" w:eastAsia="serif" w:hAnsi="Minion Pro" w:cs="Sylfaen"/>
          <w:sz w:val="22"/>
          <w:szCs w:val="22"/>
        </w:rPr>
      </w:pPr>
      <w:r w:rsidRPr="0099271C">
        <w:rPr>
          <w:rFonts w:ascii="Minion Pro" w:eastAsia="serif" w:hAnsi="Minion Pro" w:cs="Sylfaen"/>
          <w:sz w:val="22"/>
          <w:szCs w:val="22"/>
        </w:rPr>
        <w:t>Recognizing that education is the fundamental link to national progress, the Royal Government of Bhutan has always emphasized education as one of the priority sectors. Although Bhutan has achieved tremendous progress in the field of education, n</w:t>
      </w:r>
      <w:r w:rsidRPr="0099271C">
        <w:rPr>
          <w:rFonts w:ascii="Minion Pro" w:eastAsia="serif" w:hAnsi="Minion Pro" w:cs="Sylfaen"/>
          <w:sz w:val="22"/>
          <w:szCs w:val="22"/>
        </w:rPr>
        <w:t>ew priority areas are emerging such as in improving quality and inclusiveness, adaptive and digital learning, emphasis on learning instead of classroom teaching, gearing learning towards emerging jobs, improving the learning facilities and enhancement of E</w:t>
      </w:r>
      <w:r w:rsidRPr="0099271C">
        <w:rPr>
          <w:rFonts w:ascii="Minion Pro" w:eastAsia="serif" w:hAnsi="Minion Pro" w:cs="Sylfaen"/>
          <w:sz w:val="22"/>
          <w:szCs w:val="22"/>
        </w:rPr>
        <w:t>CCD enrollment and facilities.</w:t>
      </w:r>
    </w:p>
    <w:p w:rsidR="00C4107D" w:rsidRPr="0099271C" w:rsidRDefault="00C4107D" w:rsidP="0099271C">
      <w:pPr>
        <w:pStyle w:val="NormalWeb"/>
        <w:spacing w:beforeAutospacing="0" w:afterAutospacing="0" w:line="18" w:lineRule="atLeast"/>
        <w:rPr>
          <w:rFonts w:ascii="Minion Pro" w:eastAsia="serif" w:hAnsi="Minion Pro" w:cs="Sylfaen"/>
          <w:sz w:val="22"/>
          <w:szCs w:val="22"/>
        </w:rPr>
      </w:pPr>
    </w:p>
    <w:p w:rsidR="00C4107D" w:rsidRPr="0099271C" w:rsidRDefault="00885214" w:rsidP="0099271C">
      <w:pPr>
        <w:rPr>
          <w:rFonts w:ascii="Minion Pro" w:eastAsia="Merriweather" w:hAnsi="Minion Pro" w:cs="Sylfaen"/>
          <w:sz w:val="22"/>
          <w:szCs w:val="22"/>
        </w:rPr>
      </w:pPr>
      <w:r w:rsidRPr="0099271C">
        <w:rPr>
          <w:rFonts w:ascii="Minion Pro" w:eastAsia="Merriweather" w:hAnsi="Minion Pro" w:cs="Sylfaen"/>
          <w:sz w:val="22"/>
          <w:szCs w:val="22"/>
        </w:rPr>
        <w:t>The statistics presented in this chapter provides an overview of Bhutan’s current education scenario and includes key education indicators, number of schools, institutes, colleges, students, teachers and lecturers.</w:t>
      </w:r>
    </w:p>
    <w:p w:rsidR="00C4107D" w:rsidRPr="0099271C" w:rsidRDefault="00C4107D" w:rsidP="0099271C">
      <w:pPr>
        <w:rPr>
          <w:rFonts w:ascii="Minion Pro" w:eastAsia="Merriweather" w:hAnsi="Minion Pro" w:cs="Sylfaen"/>
          <w:sz w:val="22"/>
          <w:szCs w:val="22"/>
        </w:rPr>
      </w:pPr>
    </w:p>
    <w:p w:rsidR="00C4107D" w:rsidRPr="0099271C" w:rsidRDefault="00C4107D" w:rsidP="0099271C">
      <w:pPr>
        <w:rPr>
          <w:rFonts w:ascii="Minion Pro" w:eastAsia="Merriweather" w:hAnsi="Minion Pro" w:cs="Sylfaen"/>
          <w:b/>
          <w:sz w:val="22"/>
          <w:szCs w:val="22"/>
        </w:rPr>
      </w:pPr>
    </w:p>
    <w:p w:rsidR="00C4107D" w:rsidRPr="0099271C" w:rsidRDefault="00885214" w:rsidP="0099271C">
      <w:pPr>
        <w:rPr>
          <w:rFonts w:ascii="Minion Pro" w:eastAsia="Merriweather" w:hAnsi="Minion Pro" w:cs="Sylfaen"/>
          <w:b/>
          <w:sz w:val="22"/>
          <w:szCs w:val="22"/>
        </w:rPr>
      </w:pPr>
      <w:r w:rsidRPr="0099271C">
        <w:rPr>
          <w:rFonts w:ascii="Minion Pro" w:eastAsia="Merriweather" w:hAnsi="Minion Pro" w:cs="Sylfaen"/>
          <w:b/>
          <w:sz w:val="22"/>
          <w:szCs w:val="22"/>
        </w:rPr>
        <w:t>Concepts and Definition</w:t>
      </w:r>
    </w:p>
    <w:p w:rsidR="00C4107D" w:rsidRPr="0099271C" w:rsidRDefault="00C4107D" w:rsidP="0099271C">
      <w:pPr>
        <w:rPr>
          <w:rFonts w:ascii="Minion Pro" w:eastAsia="Merriweather" w:hAnsi="Minion Pro" w:cs="Sylfaen"/>
          <w:b/>
          <w:sz w:val="22"/>
          <w:szCs w:val="22"/>
        </w:rPr>
      </w:pPr>
    </w:p>
    <w:p w:rsidR="00C4107D" w:rsidRPr="0099271C" w:rsidRDefault="00885214" w:rsidP="0099271C">
      <w:pPr>
        <w:widowControl/>
        <w:rPr>
          <w:rFonts w:ascii="Minion Pro" w:eastAsia="Merriweather" w:hAnsi="Minion Pro" w:cs="Sylfaen"/>
          <w:color w:val="000000"/>
          <w:sz w:val="22"/>
          <w:szCs w:val="22"/>
        </w:rPr>
      </w:pPr>
      <w:r w:rsidRPr="0099271C">
        <w:rPr>
          <w:rFonts w:ascii="Minion Pro" w:eastAsia="Merriweather" w:hAnsi="Minion Pro" w:cs="Sylfaen"/>
          <w:b/>
          <w:bCs/>
          <w:color w:val="000000"/>
          <w:sz w:val="22"/>
          <w:szCs w:val="22"/>
        </w:rPr>
        <w:t xml:space="preserve">Gross Enrolment Ratio </w:t>
      </w:r>
      <w:proofErr w:type="gramStart"/>
      <w:r w:rsidRPr="0099271C">
        <w:rPr>
          <w:rFonts w:ascii="Minion Pro" w:eastAsia="Merriweather" w:hAnsi="Minion Pro" w:cs="Sylfaen"/>
          <w:b/>
          <w:bCs/>
          <w:color w:val="000000"/>
          <w:sz w:val="22"/>
          <w:szCs w:val="22"/>
        </w:rPr>
        <w:t>ECCD</w:t>
      </w:r>
      <w:r w:rsidRPr="0099271C">
        <w:rPr>
          <w:rFonts w:ascii="Minion Pro" w:eastAsia="Merriweather" w:hAnsi="Minion Pro" w:cs="Sylfaen"/>
          <w:b/>
          <w:bCs/>
          <w:color w:val="000000"/>
          <w:sz w:val="22"/>
          <w:szCs w:val="22"/>
        </w:rPr>
        <w:t xml:space="preserve"> </w:t>
      </w:r>
      <w:r w:rsidRPr="0099271C">
        <w:rPr>
          <w:rFonts w:ascii="Minion Pro" w:eastAsia="Merriweather" w:hAnsi="Minion Pro" w:cs="Sylfaen"/>
          <w:b/>
          <w:bCs/>
          <w:color w:val="000000"/>
          <w:sz w:val="22"/>
          <w:szCs w:val="22"/>
        </w:rPr>
        <w:t>:</w:t>
      </w:r>
      <w:proofErr w:type="gramEnd"/>
      <w:r w:rsidRPr="0099271C">
        <w:rPr>
          <w:rFonts w:ascii="Minion Pro" w:eastAsia="Merriweather" w:hAnsi="Minion Pro" w:cs="Sylfaen"/>
          <w:b/>
          <w:bCs/>
          <w:color w:val="000000"/>
          <w:sz w:val="22"/>
          <w:szCs w:val="22"/>
        </w:rPr>
        <w:t xml:space="preserve"> </w:t>
      </w:r>
      <w:r w:rsidRPr="0099271C">
        <w:rPr>
          <w:rFonts w:ascii="Minion Pro" w:eastAsia="Merriweather" w:hAnsi="Minion Pro" w:cs="Sylfaen"/>
          <w:color w:val="000000"/>
          <w:sz w:val="22"/>
          <w:szCs w:val="22"/>
        </w:rPr>
        <w:t xml:space="preserve">Total Enrolment in ECCD regardless of ages expressed as a </w:t>
      </w:r>
      <w:proofErr w:type="spellStart"/>
      <w:r w:rsidRPr="0099271C">
        <w:rPr>
          <w:rFonts w:ascii="Minion Pro" w:eastAsia="Merriweather" w:hAnsi="Minion Pro" w:cs="Sylfaen"/>
          <w:color w:val="000000"/>
          <w:sz w:val="22"/>
          <w:szCs w:val="22"/>
        </w:rPr>
        <w:t>percent age</w:t>
      </w:r>
      <w:proofErr w:type="spellEnd"/>
      <w:r w:rsidRPr="0099271C">
        <w:rPr>
          <w:rFonts w:ascii="Minion Pro" w:eastAsia="Merriweather" w:hAnsi="Minion Pro" w:cs="Sylfaen"/>
          <w:color w:val="000000"/>
          <w:sz w:val="22"/>
          <w:szCs w:val="22"/>
        </w:rPr>
        <w:t xml:space="preserve"> of the population of the official age (3-5yrs old).</w:t>
      </w:r>
    </w:p>
    <w:p w:rsidR="00C4107D" w:rsidRPr="0099271C" w:rsidRDefault="00C4107D" w:rsidP="0099271C">
      <w:pPr>
        <w:widowControl/>
        <w:rPr>
          <w:rFonts w:ascii="Minion Pro" w:eastAsia="Merriweather" w:hAnsi="Minion Pro" w:cs="Sylfaen"/>
          <w:color w:val="000000"/>
          <w:sz w:val="22"/>
          <w:szCs w:val="22"/>
        </w:rPr>
      </w:pPr>
    </w:p>
    <w:p w:rsidR="00C4107D" w:rsidRPr="0099271C" w:rsidRDefault="00C4107D" w:rsidP="0099271C">
      <w:pPr>
        <w:widowControl/>
        <w:rPr>
          <w:rFonts w:ascii="Minion Pro" w:eastAsia="Merriweather" w:hAnsi="Minion Pro" w:cs="Sylfaen"/>
          <w:color w:val="000000"/>
          <w:sz w:val="22"/>
          <w:szCs w:val="22"/>
        </w:rPr>
      </w:pPr>
    </w:p>
    <w:p w:rsidR="00C4107D" w:rsidRPr="0099271C" w:rsidRDefault="00885214" w:rsidP="0099271C">
      <w:pPr>
        <w:widowControl/>
        <w:rPr>
          <w:rFonts w:ascii="Minion Pro" w:eastAsia="Merriweather" w:hAnsi="Minion Pro" w:cs="Sylfaen"/>
          <w:color w:val="000000"/>
          <w:sz w:val="22"/>
          <w:szCs w:val="22"/>
        </w:rPr>
      </w:pPr>
      <w:r w:rsidRPr="0099271C">
        <w:rPr>
          <w:rFonts w:ascii="Minion Pro" w:eastAsia="Merriweather" w:hAnsi="Minion Pro" w:cs="Sylfaen"/>
          <w:b/>
          <w:bCs/>
          <w:color w:val="000000"/>
          <w:sz w:val="22"/>
          <w:szCs w:val="22"/>
        </w:rPr>
        <w:lastRenderedPageBreak/>
        <w:t xml:space="preserve">Apparent Intake </w:t>
      </w:r>
      <w:proofErr w:type="gramStart"/>
      <w:r w:rsidRPr="0099271C">
        <w:rPr>
          <w:rFonts w:ascii="Minion Pro" w:eastAsia="Merriweather" w:hAnsi="Minion Pro" w:cs="Sylfaen"/>
          <w:b/>
          <w:bCs/>
          <w:color w:val="000000"/>
          <w:sz w:val="22"/>
          <w:szCs w:val="22"/>
        </w:rPr>
        <w:t>Rate</w:t>
      </w:r>
      <w:r w:rsidRPr="0099271C">
        <w:rPr>
          <w:rFonts w:ascii="Minion Pro" w:eastAsia="Merriweather" w:hAnsi="Minion Pro" w:cs="Sylfaen"/>
          <w:b/>
          <w:bCs/>
          <w:color w:val="000000"/>
          <w:sz w:val="22"/>
          <w:szCs w:val="22"/>
        </w:rPr>
        <w:t xml:space="preserve"> </w:t>
      </w:r>
      <w:r w:rsidRPr="0099271C">
        <w:rPr>
          <w:rFonts w:ascii="Minion Pro" w:eastAsia="Merriweather" w:hAnsi="Minion Pro" w:cs="Sylfaen"/>
          <w:color w:val="000000"/>
          <w:sz w:val="22"/>
          <w:szCs w:val="22"/>
        </w:rPr>
        <w:t>:</w:t>
      </w:r>
      <w:proofErr w:type="gramEnd"/>
      <w:r w:rsidRPr="0099271C">
        <w:rPr>
          <w:rFonts w:ascii="Minion Pro" w:eastAsia="Merriweather" w:hAnsi="Minion Pro" w:cs="Sylfaen"/>
          <w:color w:val="000000"/>
          <w:sz w:val="22"/>
          <w:szCs w:val="22"/>
        </w:rPr>
        <w:t xml:space="preserve"> </w:t>
      </w:r>
      <w:r w:rsidRPr="0099271C">
        <w:rPr>
          <w:rFonts w:ascii="Minion Pro" w:eastAsia="Merriweather" w:hAnsi="Minion Pro" w:cs="Sylfaen"/>
          <w:color w:val="000000"/>
          <w:sz w:val="22"/>
          <w:szCs w:val="22"/>
        </w:rPr>
        <w:t xml:space="preserve">Total number of new entrants in PP expressed as a </w:t>
      </w:r>
      <w:r w:rsidRPr="0099271C">
        <w:rPr>
          <w:rFonts w:ascii="Minion Pro" w:eastAsia="Merriweather" w:hAnsi="Minion Pro" w:cs="Sylfaen"/>
          <w:color w:val="000000"/>
          <w:sz w:val="22"/>
          <w:szCs w:val="22"/>
        </w:rPr>
        <w:t>percentage of the</w:t>
      </w:r>
      <w:r w:rsidRPr="0099271C">
        <w:rPr>
          <w:rFonts w:ascii="Minion Pro" w:eastAsia="Merriweather" w:hAnsi="Minion Pro" w:cs="Sylfaen"/>
          <w:color w:val="000000"/>
          <w:sz w:val="22"/>
          <w:szCs w:val="22"/>
        </w:rPr>
        <w:t xml:space="preserve"> </w:t>
      </w:r>
      <w:r w:rsidRPr="0099271C">
        <w:rPr>
          <w:rFonts w:ascii="Minion Pro" w:eastAsia="Merriweather" w:hAnsi="Minion Pro" w:cs="Sylfaen"/>
          <w:color w:val="000000"/>
          <w:sz w:val="22"/>
          <w:szCs w:val="22"/>
        </w:rPr>
        <w:t>official school going aged population (5yr old pop).</w:t>
      </w:r>
    </w:p>
    <w:p w:rsidR="00C4107D" w:rsidRPr="0099271C" w:rsidRDefault="00C4107D" w:rsidP="0099271C">
      <w:pPr>
        <w:widowControl/>
        <w:rPr>
          <w:rFonts w:ascii="Minion Pro" w:eastAsia="Merriweather" w:hAnsi="Minion Pro" w:cs="Sylfaen"/>
          <w:color w:val="000000"/>
          <w:sz w:val="22"/>
          <w:szCs w:val="22"/>
        </w:rPr>
      </w:pPr>
    </w:p>
    <w:p w:rsidR="00C4107D" w:rsidRPr="0099271C" w:rsidRDefault="00885214" w:rsidP="0099271C">
      <w:pPr>
        <w:widowControl/>
        <w:rPr>
          <w:rFonts w:ascii="Minion Pro" w:hAnsi="Minion Pro" w:cs="Sylfaen"/>
          <w:color w:val="000000"/>
          <w:sz w:val="22"/>
          <w:szCs w:val="22"/>
        </w:rPr>
      </w:pPr>
      <w:r w:rsidRPr="0099271C">
        <w:rPr>
          <w:rFonts w:ascii="Minion Pro" w:eastAsia="Merriweather" w:hAnsi="Minion Pro" w:cs="Sylfaen"/>
          <w:b/>
          <w:bCs/>
          <w:color w:val="000000"/>
          <w:sz w:val="22"/>
          <w:szCs w:val="22"/>
        </w:rPr>
        <w:t xml:space="preserve">Net Intake </w:t>
      </w:r>
      <w:proofErr w:type="gramStart"/>
      <w:r w:rsidRPr="0099271C">
        <w:rPr>
          <w:rFonts w:ascii="Minion Pro" w:eastAsia="Merriweather" w:hAnsi="Minion Pro" w:cs="Sylfaen"/>
          <w:b/>
          <w:bCs/>
          <w:color w:val="000000"/>
          <w:sz w:val="22"/>
          <w:szCs w:val="22"/>
        </w:rPr>
        <w:t>Rate</w:t>
      </w:r>
      <w:r w:rsidRPr="0099271C">
        <w:rPr>
          <w:rFonts w:ascii="Minion Pro" w:eastAsia="Merriweather" w:hAnsi="Minion Pro" w:cs="Sylfaen"/>
          <w:b/>
          <w:bCs/>
          <w:color w:val="000000"/>
          <w:sz w:val="22"/>
          <w:szCs w:val="22"/>
        </w:rPr>
        <w:t xml:space="preserve"> </w:t>
      </w:r>
      <w:r w:rsidRPr="0099271C">
        <w:rPr>
          <w:rFonts w:ascii="Minion Pro" w:eastAsia="Merriweather" w:hAnsi="Minion Pro" w:cs="Sylfaen"/>
          <w:color w:val="000000"/>
          <w:sz w:val="22"/>
          <w:szCs w:val="22"/>
        </w:rPr>
        <w:t>:</w:t>
      </w:r>
      <w:proofErr w:type="gramEnd"/>
      <w:r w:rsidRPr="0099271C">
        <w:rPr>
          <w:rFonts w:ascii="Minion Pro" w:eastAsia="Merriweather" w:hAnsi="Minion Pro" w:cs="Sylfaen"/>
          <w:color w:val="000000"/>
          <w:sz w:val="22"/>
          <w:szCs w:val="22"/>
        </w:rPr>
        <w:t xml:space="preserve"> </w:t>
      </w:r>
      <w:r w:rsidRPr="0099271C">
        <w:rPr>
          <w:rFonts w:ascii="Minion Pro" w:eastAsia="Merriweather" w:hAnsi="Minion Pro" w:cs="Sylfaen"/>
          <w:color w:val="000000"/>
          <w:sz w:val="22"/>
          <w:szCs w:val="22"/>
        </w:rPr>
        <w:t>Total number of 5-year-old new entrants in PP expressed as a</w:t>
      </w:r>
      <w:r w:rsidRPr="0099271C">
        <w:rPr>
          <w:rFonts w:ascii="Minion Pro" w:eastAsia="Merriweather" w:hAnsi="Minion Pro" w:cs="Sylfaen"/>
          <w:color w:val="000000"/>
          <w:sz w:val="22"/>
          <w:szCs w:val="22"/>
        </w:rPr>
        <w:t xml:space="preserve"> </w:t>
      </w:r>
      <w:r w:rsidRPr="0099271C">
        <w:rPr>
          <w:rFonts w:ascii="Minion Pro" w:eastAsia="Merriweather" w:hAnsi="Minion Pro" w:cs="Sylfaen"/>
          <w:color w:val="000000"/>
          <w:sz w:val="22"/>
          <w:szCs w:val="22"/>
        </w:rPr>
        <w:t xml:space="preserve">percentage of the official school going aged population (5yr old pop).        </w:t>
      </w:r>
    </w:p>
    <w:p w:rsidR="00C4107D" w:rsidRPr="0099271C" w:rsidRDefault="00885214" w:rsidP="0099271C">
      <w:pPr>
        <w:widowControl/>
        <w:rPr>
          <w:rFonts w:ascii="Minion Pro" w:eastAsia="Merriweather" w:hAnsi="Minion Pro" w:cs="Sylfaen"/>
          <w:color w:val="000000"/>
          <w:sz w:val="22"/>
          <w:szCs w:val="22"/>
        </w:rPr>
      </w:pPr>
      <w:r w:rsidRPr="0099271C">
        <w:rPr>
          <w:rFonts w:ascii="Minion Pro" w:eastAsia="Merriweather" w:hAnsi="Minion Pro" w:cs="Sylfaen"/>
          <w:color w:val="000000"/>
          <w:sz w:val="22"/>
          <w:szCs w:val="22"/>
        </w:rPr>
        <w:t xml:space="preserve"> </w:t>
      </w:r>
    </w:p>
    <w:p w:rsidR="00C4107D" w:rsidRPr="0099271C" w:rsidRDefault="00885214" w:rsidP="0099271C">
      <w:pPr>
        <w:widowControl/>
        <w:rPr>
          <w:rFonts w:ascii="Minion Pro" w:eastAsia="Merriweather" w:hAnsi="Minion Pro" w:cs="Sylfaen"/>
          <w:color w:val="000000"/>
          <w:sz w:val="22"/>
          <w:szCs w:val="22"/>
        </w:rPr>
      </w:pPr>
      <w:r w:rsidRPr="0099271C">
        <w:rPr>
          <w:rFonts w:ascii="Minion Pro" w:eastAsia="Merriweather" w:hAnsi="Minion Pro" w:cs="Sylfaen"/>
          <w:b/>
          <w:bCs/>
          <w:color w:val="000000"/>
          <w:sz w:val="22"/>
          <w:szCs w:val="22"/>
        </w:rPr>
        <w:t xml:space="preserve">Net Enrolment Rate </w:t>
      </w:r>
      <w:proofErr w:type="gramStart"/>
      <w:r w:rsidRPr="0099271C">
        <w:rPr>
          <w:rFonts w:ascii="Minion Pro" w:eastAsia="Merriweather" w:hAnsi="Minion Pro" w:cs="Sylfaen"/>
          <w:b/>
          <w:bCs/>
          <w:color w:val="000000"/>
          <w:sz w:val="22"/>
          <w:szCs w:val="22"/>
        </w:rPr>
        <w:t>Primary</w:t>
      </w:r>
      <w:r w:rsidRPr="0099271C">
        <w:rPr>
          <w:rFonts w:ascii="Minion Pro" w:eastAsia="Merriweather" w:hAnsi="Minion Pro" w:cs="Sylfaen"/>
          <w:b/>
          <w:bCs/>
          <w:color w:val="000000"/>
          <w:sz w:val="22"/>
          <w:szCs w:val="22"/>
        </w:rPr>
        <w:t xml:space="preserve"> </w:t>
      </w:r>
      <w:r w:rsidRPr="0099271C">
        <w:rPr>
          <w:rFonts w:ascii="Minion Pro" w:eastAsia="Merriweather" w:hAnsi="Minion Pro" w:cs="Sylfaen"/>
          <w:color w:val="000000"/>
          <w:sz w:val="22"/>
          <w:szCs w:val="22"/>
        </w:rPr>
        <w:t>:</w:t>
      </w:r>
      <w:proofErr w:type="gramEnd"/>
      <w:r w:rsidRPr="0099271C">
        <w:rPr>
          <w:rFonts w:ascii="Minion Pro" w:eastAsia="Merriweather" w:hAnsi="Minion Pro" w:cs="Sylfaen"/>
          <w:color w:val="000000"/>
          <w:sz w:val="22"/>
          <w:szCs w:val="22"/>
        </w:rPr>
        <w:t xml:space="preserve"> The number of pupils of official primary school age who are enrolled in primary education as a percentage of the total children of the official school age population.</w:t>
      </w:r>
    </w:p>
    <w:p w:rsidR="00C4107D" w:rsidRPr="0099271C" w:rsidRDefault="00C4107D" w:rsidP="0099271C">
      <w:pPr>
        <w:widowControl/>
        <w:rPr>
          <w:rFonts w:ascii="Minion Pro" w:eastAsia="Merriweather" w:hAnsi="Minion Pro" w:cs="Sylfaen"/>
          <w:color w:val="000000"/>
          <w:sz w:val="22"/>
          <w:szCs w:val="22"/>
        </w:rPr>
      </w:pPr>
    </w:p>
    <w:p w:rsidR="00C4107D" w:rsidRPr="0099271C" w:rsidRDefault="00885214" w:rsidP="0099271C">
      <w:pPr>
        <w:widowControl/>
        <w:rPr>
          <w:rFonts w:ascii="Minion Pro" w:eastAsia="Merriweather" w:hAnsi="Minion Pro" w:cs="Sylfaen"/>
          <w:color w:val="000000"/>
          <w:sz w:val="22"/>
          <w:szCs w:val="22"/>
        </w:rPr>
      </w:pPr>
      <w:r w:rsidRPr="0099271C">
        <w:rPr>
          <w:rFonts w:ascii="Minion Pro" w:eastAsia="Merriweather" w:hAnsi="Minion Pro" w:cs="Sylfaen"/>
          <w:b/>
          <w:bCs/>
          <w:color w:val="000000"/>
          <w:sz w:val="22"/>
          <w:szCs w:val="22"/>
        </w:rPr>
        <w:t>Adjusted Net Enrolment Rate (5-12 years)</w:t>
      </w:r>
      <w:r w:rsidRPr="0099271C">
        <w:rPr>
          <w:rFonts w:ascii="Minion Pro" w:eastAsia="Merriweather" w:hAnsi="Minion Pro" w:cs="Sylfaen"/>
          <w:b/>
          <w:bCs/>
          <w:color w:val="000000"/>
          <w:sz w:val="22"/>
          <w:szCs w:val="22"/>
        </w:rPr>
        <w:t xml:space="preserve"> </w:t>
      </w:r>
      <w:r w:rsidRPr="0099271C">
        <w:rPr>
          <w:rFonts w:ascii="Minion Pro" w:eastAsia="Merriweather" w:hAnsi="Minion Pro" w:cs="Sylfaen"/>
          <w:color w:val="000000"/>
          <w:sz w:val="22"/>
          <w:szCs w:val="22"/>
        </w:rPr>
        <w:t>: The number of pupils of official pr</w:t>
      </w:r>
      <w:r w:rsidRPr="0099271C">
        <w:rPr>
          <w:rFonts w:ascii="Minion Pro" w:eastAsia="Merriweather" w:hAnsi="Minion Pro" w:cs="Sylfaen"/>
          <w:color w:val="000000"/>
          <w:sz w:val="22"/>
          <w:szCs w:val="22"/>
        </w:rPr>
        <w:t>imary school age (5-12yrs) enrolled in any level or form of education expressed as a</w:t>
      </w:r>
      <w:r w:rsidRPr="0099271C">
        <w:rPr>
          <w:rFonts w:ascii="Minion Pro" w:eastAsia="Merriweather" w:hAnsi="Minion Pro" w:cs="Sylfaen"/>
          <w:color w:val="000000"/>
          <w:sz w:val="22"/>
          <w:szCs w:val="22"/>
        </w:rPr>
        <w:t xml:space="preserve"> </w:t>
      </w:r>
      <w:r w:rsidRPr="0099271C">
        <w:rPr>
          <w:rFonts w:ascii="Minion Pro" w:eastAsia="Merriweather" w:hAnsi="Minion Pro" w:cs="Sylfaen"/>
          <w:color w:val="000000"/>
          <w:sz w:val="22"/>
          <w:szCs w:val="22"/>
        </w:rPr>
        <w:t>percentage of the total children of the official primary school age population</w:t>
      </w:r>
    </w:p>
    <w:p w:rsidR="00C4107D" w:rsidRPr="0099271C" w:rsidRDefault="00C4107D" w:rsidP="0099271C">
      <w:pPr>
        <w:widowControl/>
        <w:rPr>
          <w:rFonts w:ascii="Minion Pro" w:eastAsia="Merriweather" w:hAnsi="Minion Pro" w:cs="Sylfaen"/>
          <w:color w:val="000000"/>
          <w:sz w:val="22"/>
          <w:szCs w:val="22"/>
        </w:rPr>
      </w:pPr>
    </w:p>
    <w:p w:rsidR="00C4107D" w:rsidRPr="0099271C" w:rsidRDefault="00885214" w:rsidP="0099271C">
      <w:pPr>
        <w:widowControl/>
        <w:rPr>
          <w:rFonts w:ascii="Minion Pro" w:hAnsi="Minion Pro" w:cs="Sylfaen"/>
          <w:color w:val="000000"/>
          <w:sz w:val="22"/>
          <w:szCs w:val="22"/>
        </w:rPr>
      </w:pPr>
      <w:r w:rsidRPr="0099271C">
        <w:rPr>
          <w:rFonts w:ascii="Minion Pro" w:eastAsia="Merriweather" w:hAnsi="Minion Pro" w:cs="Sylfaen"/>
          <w:b/>
          <w:bCs/>
          <w:color w:val="000000"/>
          <w:sz w:val="22"/>
          <w:szCs w:val="22"/>
        </w:rPr>
        <w:t>Net Enrolment Rate Basic (PP-X)</w:t>
      </w:r>
      <w:r w:rsidRPr="0099271C">
        <w:rPr>
          <w:rFonts w:ascii="Minion Pro" w:eastAsia="Merriweather" w:hAnsi="Minion Pro" w:cs="Sylfaen"/>
          <w:b/>
          <w:bCs/>
          <w:color w:val="000000"/>
          <w:sz w:val="22"/>
          <w:szCs w:val="22"/>
        </w:rPr>
        <w:t xml:space="preserve"> </w:t>
      </w:r>
      <w:r w:rsidRPr="0099271C">
        <w:rPr>
          <w:rFonts w:ascii="Minion Pro" w:eastAsia="Merriweather" w:hAnsi="Minion Pro" w:cs="Sylfaen"/>
          <w:b/>
          <w:bCs/>
          <w:color w:val="000000"/>
          <w:sz w:val="22"/>
          <w:szCs w:val="22"/>
        </w:rPr>
        <w:t>:</w:t>
      </w:r>
      <w:r w:rsidRPr="0099271C">
        <w:rPr>
          <w:rFonts w:ascii="Minion Pro" w:eastAsia="Merriweather" w:hAnsi="Minion Pro" w:cs="Sylfaen"/>
          <w:color w:val="000000"/>
          <w:sz w:val="22"/>
          <w:szCs w:val="22"/>
        </w:rPr>
        <w:t xml:space="preserve"> The net enrolment ratio is the number of boys and girls of the age of a particular level of education that are enrolled in that level of education, expressed as a percentage of </w:t>
      </w:r>
      <w:r w:rsidRPr="0099271C">
        <w:rPr>
          <w:rFonts w:ascii="Minion Pro" w:eastAsia="Merriweather" w:hAnsi="Minion Pro" w:cs="Sylfaen"/>
          <w:color w:val="000000"/>
          <w:sz w:val="22"/>
          <w:szCs w:val="22"/>
        </w:rPr>
        <w:tab/>
      </w:r>
      <w:r w:rsidRPr="0099271C">
        <w:rPr>
          <w:rFonts w:ascii="Minion Pro" w:eastAsia="Merriweather" w:hAnsi="Minion Pro" w:cs="Sylfaen"/>
          <w:sz w:val="22"/>
          <w:szCs w:val="22"/>
        </w:rPr>
        <w:t xml:space="preserve">the </w:t>
      </w:r>
      <w:r w:rsidRPr="0099271C">
        <w:rPr>
          <w:rFonts w:ascii="Minion Pro" w:eastAsia="Merriweather" w:hAnsi="Minion Pro" w:cs="Sylfaen"/>
          <w:sz w:val="22"/>
          <w:szCs w:val="22"/>
        </w:rPr>
        <w:t>t</w:t>
      </w:r>
      <w:r w:rsidRPr="0099271C">
        <w:rPr>
          <w:rFonts w:ascii="Minion Pro" w:eastAsia="Merriweather" w:hAnsi="Minion Pro" w:cs="Sylfaen"/>
          <w:sz w:val="22"/>
          <w:szCs w:val="22"/>
        </w:rPr>
        <w:t>otal</w:t>
      </w:r>
      <w:r w:rsidRPr="0099271C">
        <w:rPr>
          <w:rFonts w:ascii="Minion Pro" w:eastAsia="Merriweather" w:hAnsi="Minion Pro" w:cs="Sylfaen"/>
          <w:color w:val="000000"/>
          <w:sz w:val="22"/>
          <w:szCs w:val="22"/>
        </w:rPr>
        <w:t xml:space="preserve"> population in that age group.                                      </w:t>
      </w:r>
      <w:r w:rsidRPr="0099271C">
        <w:rPr>
          <w:rFonts w:ascii="Minion Pro" w:eastAsia="Merriweather" w:hAnsi="Minion Pro" w:cs="Sylfaen"/>
          <w:color w:val="000000"/>
          <w:sz w:val="22"/>
          <w:szCs w:val="22"/>
        </w:rPr>
        <w:t xml:space="preserve">                                                          </w:t>
      </w:r>
    </w:p>
    <w:p w:rsidR="00C4107D" w:rsidRPr="0099271C" w:rsidRDefault="00885214" w:rsidP="0099271C">
      <w:pPr>
        <w:widowControl/>
        <w:rPr>
          <w:rFonts w:ascii="Minion Pro" w:hAnsi="Minion Pro" w:cs="Sylfaen"/>
          <w:color w:val="000000"/>
          <w:sz w:val="22"/>
          <w:szCs w:val="22"/>
        </w:rPr>
      </w:pPr>
      <w:r w:rsidRPr="0099271C">
        <w:rPr>
          <w:rFonts w:ascii="Minion Pro" w:eastAsia="Merriweather" w:hAnsi="Minion Pro" w:cs="Sylfaen"/>
          <w:color w:val="000000"/>
          <w:sz w:val="22"/>
          <w:szCs w:val="22"/>
        </w:rPr>
        <w:t xml:space="preserve">                    </w:t>
      </w:r>
    </w:p>
    <w:p w:rsidR="00C4107D" w:rsidRPr="0099271C" w:rsidRDefault="00885214" w:rsidP="0099271C">
      <w:pPr>
        <w:widowControl/>
        <w:rPr>
          <w:rFonts w:ascii="Minion Pro" w:hAnsi="Minion Pro" w:cs="Sylfaen"/>
          <w:color w:val="000000"/>
          <w:sz w:val="22"/>
          <w:szCs w:val="22"/>
        </w:rPr>
      </w:pPr>
      <w:r w:rsidRPr="0099271C">
        <w:rPr>
          <w:rFonts w:ascii="Minion Pro" w:eastAsia="Merriweather" w:hAnsi="Minion Pro" w:cs="Sylfaen"/>
          <w:b/>
          <w:bCs/>
          <w:color w:val="000000"/>
          <w:sz w:val="22"/>
          <w:szCs w:val="22"/>
        </w:rPr>
        <w:t xml:space="preserve">Gross Enrolment </w:t>
      </w:r>
      <w:proofErr w:type="gramStart"/>
      <w:r w:rsidRPr="0099271C">
        <w:rPr>
          <w:rFonts w:ascii="Minion Pro" w:eastAsia="Merriweather" w:hAnsi="Minion Pro" w:cs="Sylfaen"/>
          <w:b/>
          <w:bCs/>
          <w:color w:val="000000"/>
          <w:sz w:val="22"/>
          <w:szCs w:val="22"/>
        </w:rPr>
        <w:t>Ratio</w:t>
      </w:r>
      <w:r w:rsidRPr="0099271C">
        <w:rPr>
          <w:rFonts w:ascii="Minion Pro" w:eastAsia="Merriweather" w:hAnsi="Minion Pro" w:cs="Sylfaen"/>
          <w:color w:val="000000"/>
          <w:sz w:val="22"/>
          <w:szCs w:val="22"/>
        </w:rPr>
        <w:t xml:space="preserve"> :</w:t>
      </w:r>
      <w:proofErr w:type="gramEnd"/>
      <w:r w:rsidRPr="0099271C">
        <w:rPr>
          <w:rFonts w:ascii="Minion Pro" w:eastAsia="Merriweather" w:hAnsi="Minion Pro" w:cs="Sylfaen"/>
          <w:color w:val="000000"/>
          <w:sz w:val="22"/>
          <w:szCs w:val="22"/>
        </w:rPr>
        <w:t xml:space="preserve"> Number of students enrolled in a given level of education, regardless of age,</w:t>
      </w:r>
      <w:r w:rsidRPr="0099271C">
        <w:rPr>
          <w:rFonts w:ascii="Minion Pro" w:eastAsia="Merriweather" w:hAnsi="Minion Pro" w:cs="Sylfaen"/>
          <w:color w:val="000000"/>
          <w:sz w:val="22"/>
          <w:szCs w:val="22"/>
        </w:rPr>
        <w:t xml:space="preserve"> </w:t>
      </w:r>
      <w:r w:rsidRPr="0099271C">
        <w:rPr>
          <w:rFonts w:ascii="Minion Pro" w:eastAsia="Merriweather" w:hAnsi="Minion Pro" w:cs="Sylfaen"/>
          <w:color w:val="000000"/>
          <w:sz w:val="22"/>
          <w:szCs w:val="22"/>
        </w:rPr>
        <w:t>expressed</w:t>
      </w:r>
      <w:r w:rsidRPr="0099271C">
        <w:rPr>
          <w:rFonts w:ascii="Minion Pro" w:hAnsi="Minion Pro" w:cs="Sylfaen"/>
          <w:sz w:val="22"/>
          <w:szCs w:val="22"/>
        </w:rPr>
        <w:t xml:space="preserve"> </w:t>
      </w:r>
      <w:r w:rsidRPr="0099271C">
        <w:rPr>
          <w:rFonts w:ascii="Minion Pro" w:eastAsia="Merriweather" w:hAnsi="Minion Pro" w:cs="Sylfaen"/>
          <w:color w:val="000000"/>
          <w:sz w:val="22"/>
          <w:szCs w:val="22"/>
        </w:rPr>
        <w:t xml:space="preserve">as a percentage of the official school-age population </w:t>
      </w:r>
      <w:r w:rsidRPr="0099271C">
        <w:rPr>
          <w:rFonts w:ascii="Minion Pro" w:eastAsia="Merriweather" w:hAnsi="Minion Pro" w:cs="Sylfaen"/>
          <w:color w:val="000000"/>
          <w:sz w:val="22"/>
          <w:szCs w:val="22"/>
        </w:rPr>
        <w:t>corresponding to the same level</w:t>
      </w:r>
      <w:r w:rsidRPr="0099271C">
        <w:rPr>
          <w:rFonts w:ascii="Minion Pro" w:eastAsia="Merriweather" w:hAnsi="Minion Pro" w:cs="Sylfaen"/>
          <w:sz w:val="22"/>
          <w:szCs w:val="22"/>
        </w:rPr>
        <w:t xml:space="preserve"> </w:t>
      </w:r>
      <w:r w:rsidRPr="0099271C">
        <w:rPr>
          <w:rFonts w:ascii="Minion Pro" w:eastAsia="Merriweather" w:hAnsi="Minion Pro" w:cs="Sylfaen"/>
          <w:color w:val="000000"/>
          <w:sz w:val="22"/>
          <w:szCs w:val="22"/>
        </w:rPr>
        <w:t xml:space="preserve">of </w:t>
      </w:r>
      <w:r w:rsidRPr="0099271C">
        <w:rPr>
          <w:rFonts w:ascii="Minion Pro" w:eastAsia="Merriweather" w:hAnsi="Minion Pro" w:cs="Sylfaen"/>
          <w:color w:val="000000"/>
          <w:sz w:val="22"/>
          <w:szCs w:val="22"/>
        </w:rPr>
        <w:t xml:space="preserve"> </w:t>
      </w:r>
      <w:r w:rsidRPr="0099271C">
        <w:rPr>
          <w:rFonts w:ascii="Minion Pro" w:eastAsia="Merriweather" w:hAnsi="Minion Pro" w:cs="Sylfaen"/>
          <w:color w:val="000000"/>
          <w:sz w:val="22"/>
          <w:szCs w:val="22"/>
        </w:rPr>
        <w:t>education.</w:t>
      </w:r>
    </w:p>
    <w:p w:rsidR="00C4107D" w:rsidRPr="0099271C" w:rsidRDefault="00C4107D" w:rsidP="0099271C">
      <w:pPr>
        <w:widowControl/>
        <w:rPr>
          <w:rFonts w:ascii="Minion Pro" w:eastAsia="Merriweather" w:hAnsi="Minion Pro" w:cs="Sylfaen"/>
          <w:color w:val="000000"/>
          <w:sz w:val="22"/>
          <w:szCs w:val="22"/>
        </w:rPr>
      </w:pPr>
    </w:p>
    <w:p w:rsidR="00C4107D" w:rsidRPr="0099271C" w:rsidRDefault="00885214" w:rsidP="0099271C">
      <w:pPr>
        <w:widowControl/>
        <w:rPr>
          <w:rFonts w:ascii="Minion Pro" w:hAnsi="Minion Pro" w:cs="Sylfaen"/>
          <w:color w:val="000000"/>
          <w:sz w:val="22"/>
          <w:szCs w:val="22"/>
        </w:rPr>
      </w:pPr>
      <w:r w:rsidRPr="0099271C">
        <w:rPr>
          <w:rFonts w:ascii="Minion Pro" w:eastAsia="Merriweather" w:hAnsi="Minion Pro" w:cs="Sylfaen"/>
          <w:b/>
          <w:bCs/>
          <w:color w:val="000000"/>
          <w:sz w:val="22"/>
          <w:szCs w:val="22"/>
        </w:rPr>
        <w:t>Repetition Rate (Primary</w:t>
      </w:r>
      <w:proofErr w:type="gramStart"/>
      <w:r w:rsidRPr="0099271C">
        <w:rPr>
          <w:rFonts w:ascii="Minion Pro" w:eastAsia="Merriweather" w:hAnsi="Minion Pro" w:cs="Sylfaen"/>
          <w:b/>
          <w:bCs/>
          <w:color w:val="000000"/>
          <w:sz w:val="22"/>
          <w:szCs w:val="22"/>
        </w:rPr>
        <w:t>)</w:t>
      </w:r>
      <w:r w:rsidRPr="0099271C">
        <w:rPr>
          <w:rFonts w:ascii="Minion Pro" w:eastAsia="Merriweather" w:hAnsi="Minion Pro" w:cs="Sylfaen"/>
          <w:b/>
          <w:bCs/>
          <w:color w:val="000000"/>
          <w:sz w:val="22"/>
          <w:szCs w:val="22"/>
        </w:rPr>
        <w:t xml:space="preserve"> </w:t>
      </w:r>
      <w:r w:rsidRPr="0099271C">
        <w:rPr>
          <w:rFonts w:ascii="Minion Pro" w:eastAsia="Merriweather" w:hAnsi="Minion Pro" w:cs="Sylfaen"/>
          <w:color w:val="000000"/>
          <w:sz w:val="22"/>
          <w:szCs w:val="22"/>
        </w:rPr>
        <w:t>:</w:t>
      </w:r>
      <w:proofErr w:type="gramEnd"/>
      <w:r w:rsidRPr="0099271C">
        <w:rPr>
          <w:rFonts w:ascii="Minion Pro" w:eastAsia="Merriweather" w:hAnsi="Minion Pro" w:cs="Sylfaen"/>
          <w:color w:val="000000"/>
          <w:sz w:val="22"/>
          <w:szCs w:val="22"/>
        </w:rPr>
        <w:t xml:space="preserve"> Proportion of pupils from a cohort enrolled in a given grade at a given</w:t>
      </w:r>
      <w:r w:rsidRPr="0099271C">
        <w:rPr>
          <w:rFonts w:ascii="Minion Pro" w:hAnsi="Minion Pro" w:cs="Sylfaen"/>
          <w:sz w:val="22"/>
          <w:szCs w:val="22"/>
        </w:rPr>
        <w:t xml:space="preserve"> </w:t>
      </w:r>
      <w:r w:rsidRPr="0099271C">
        <w:rPr>
          <w:rFonts w:ascii="Minion Pro" w:eastAsia="Merriweather" w:hAnsi="Minion Pro" w:cs="Sylfaen"/>
          <w:color w:val="000000"/>
          <w:sz w:val="22"/>
          <w:szCs w:val="22"/>
        </w:rPr>
        <w:t>school year of primary or secondary education who study in the same</w:t>
      </w:r>
      <w:r w:rsidRPr="0099271C">
        <w:rPr>
          <w:rFonts w:ascii="Minion Pro" w:eastAsia="Merriweather" w:hAnsi="Minion Pro" w:cs="Sylfaen"/>
          <w:sz w:val="22"/>
          <w:szCs w:val="22"/>
        </w:rPr>
        <w:t xml:space="preserve"> </w:t>
      </w:r>
      <w:r w:rsidRPr="0099271C">
        <w:rPr>
          <w:rFonts w:ascii="Minion Pro" w:eastAsia="Merriweather" w:hAnsi="Minion Pro" w:cs="Sylfaen"/>
          <w:color w:val="000000"/>
          <w:sz w:val="22"/>
          <w:szCs w:val="22"/>
        </w:rPr>
        <w:t>grade in the following school year.</w:t>
      </w:r>
    </w:p>
    <w:p w:rsidR="00C4107D" w:rsidRPr="0099271C" w:rsidRDefault="00C4107D" w:rsidP="0099271C">
      <w:pPr>
        <w:widowControl/>
        <w:rPr>
          <w:rFonts w:ascii="Minion Pro" w:eastAsia="Merriweather" w:hAnsi="Minion Pro" w:cs="Sylfaen"/>
          <w:color w:val="000000"/>
          <w:sz w:val="22"/>
          <w:szCs w:val="22"/>
        </w:rPr>
      </w:pPr>
    </w:p>
    <w:p w:rsidR="00C4107D" w:rsidRPr="0099271C" w:rsidRDefault="00885214" w:rsidP="0099271C">
      <w:pPr>
        <w:widowControl/>
        <w:rPr>
          <w:rFonts w:ascii="Minion Pro" w:eastAsia="Merriweather" w:hAnsi="Minion Pro" w:cs="Sylfaen"/>
          <w:color w:val="000000"/>
          <w:sz w:val="22"/>
          <w:szCs w:val="22"/>
        </w:rPr>
      </w:pPr>
      <w:r w:rsidRPr="0099271C">
        <w:rPr>
          <w:rFonts w:ascii="Minion Pro" w:eastAsia="Merriweather" w:hAnsi="Minion Pro" w:cs="Sylfaen"/>
          <w:b/>
          <w:bCs/>
          <w:color w:val="000000"/>
          <w:sz w:val="22"/>
          <w:szCs w:val="22"/>
        </w:rPr>
        <w:t>Dropout Rate (Primary</w:t>
      </w:r>
      <w:proofErr w:type="gramStart"/>
      <w:r w:rsidRPr="0099271C">
        <w:rPr>
          <w:rFonts w:ascii="Minion Pro" w:eastAsia="Merriweather" w:hAnsi="Minion Pro" w:cs="Sylfaen"/>
          <w:b/>
          <w:bCs/>
          <w:color w:val="000000"/>
          <w:sz w:val="22"/>
          <w:szCs w:val="22"/>
        </w:rPr>
        <w:t>)</w:t>
      </w:r>
      <w:r w:rsidRPr="0099271C">
        <w:rPr>
          <w:rFonts w:ascii="Minion Pro" w:eastAsia="Merriweather" w:hAnsi="Minion Pro" w:cs="Sylfaen"/>
          <w:b/>
          <w:bCs/>
          <w:color w:val="000000"/>
          <w:sz w:val="22"/>
          <w:szCs w:val="22"/>
        </w:rPr>
        <w:t xml:space="preserve"> </w:t>
      </w:r>
      <w:r w:rsidRPr="0099271C">
        <w:rPr>
          <w:rFonts w:ascii="Minion Pro" w:eastAsia="Merriweather" w:hAnsi="Minion Pro" w:cs="Sylfaen"/>
          <w:color w:val="000000"/>
          <w:sz w:val="22"/>
          <w:szCs w:val="22"/>
        </w:rPr>
        <w:t>:</w:t>
      </w:r>
      <w:proofErr w:type="gramEnd"/>
      <w:r w:rsidRPr="0099271C">
        <w:rPr>
          <w:rFonts w:ascii="Minion Pro" w:eastAsia="Merriweather" w:hAnsi="Minion Pro" w:cs="Sylfaen"/>
          <w:color w:val="000000"/>
          <w:sz w:val="22"/>
          <w:szCs w:val="22"/>
        </w:rPr>
        <w:t xml:space="preserve"> Proportion of </w:t>
      </w:r>
      <w:r w:rsidRPr="0099271C">
        <w:rPr>
          <w:rFonts w:ascii="Minion Pro" w:eastAsia="Merriweather" w:hAnsi="Minion Pro" w:cs="Sylfaen"/>
          <w:sz w:val="22"/>
          <w:szCs w:val="22"/>
        </w:rPr>
        <w:t>s</w:t>
      </w:r>
      <w:r w:rsidRPr="0099271C">
        <w:rPr>
          <w:rFonts w:ascii="Minion Pro" w:eastAsia="Merriweather" w:hAnsi="Minion Pro" w:cs="Sylfaen"/>
          <w:color w:val="000000"/>
          <w:sz w:val="22"/>
          <w:szCs w:val="22"/>
        </w:rPr>
        <w:t xml:space="preserve">tudents that fail to complete education in that grade and </w:t>
      </w:r>
      <w:r w:rsidRPr="0099271C">
        <w:rPr>
          <w:rFonts w:ascii="Minion Pro" w:eastAsia="Merriweather" w:hAnsi="Minion Pro" w:cs="Sylfaen"/>
          <w:sz w:val="22"/>
          <w:szCs w:val="22"/>
        </w:rPr>
        <w:t>are not</w:t>
      </w:r>
      <w:r w:rsidRPr="0099271C">
        <w:rPr>
          <w:rFonts w:ascii="Minion Pro" w:eastAsia="Merriweather" w:hAnsi="Minion Pro" w:cs="Sylfaen"/>
          <w:sz w:val="22"/>
          <w:szCs w:val="22"/>
        </w:rPr>
        <w:t xml:space="preserve"> </w:t>
      </w:r>
      <w:r w:rsidRPr="0099271C">
        <w:rPr>
          <w:rFonts w:ascii="Minion Pro" w:eastAsia="Merriweather" w:hAnsi="Minion Pro" w:cs="Sylfaen"/>
          <w:color w:val="000000"/>
          <w:sz w:val="22"/>
          <w:szCs w:val="22"/>
        </w:rPr>
        <w:t xml:space="preserve">currently attending any educational institution. </w:t>
      </w:r>
    </w:p>
    <w:p w:rsidR="00C4107D" w:rsidRPr="0099271C" w:rsidRDefault="00C4107D" w:rsidP="0099271C">
      <w:pPr>
        <w:widowControl/>
        <w:rPr>
          <w:rFonts w:ascii="Minion Pro" w:eastAsia="Merriweather" w:hAnsi="Minion Pro" w:cs="Sylfaen"/>
          <w:color w:val="000000"/>
          <w:sz w:val="22"/>
          <w:szCs w:val="22"/>
        </w:rPr>
      </w:pPr>
    </w:p>
    <w:p w:rsidR="00C4107D" w:rsidRPr="0099271C" w:rsidRDefault="00885214" w:rsidP="0099271C">
      <w:pPr>
        <w:widowControl/>
        <w:rPr>
          <w:rFonts w:ascii="Minion Pro" w:eastAsia="Merriweather" w:hAnsi="Minion Pro" w:cs="Sylfaen"/>
          <w:color w:val="000000"/>
          <w:sz w:val="22"/>
          <w:szCs w:val="22"/>
        </w:rPr>
      </w:pPr>
      <w:r w:rsidRPr="0099271C">
        <w:rPr>
          <w:rFonts w:ascii="Minion Pro" w:eastAsia="Merriweather" w:hAnsi="Minion Pro" w:cs="Sylfaen"/>
          <w:b/>
          <w:bCs/>
          <w:color w:val="000000"/>
          <w:sz w:val="22"/>
          <w:szCs w:val="22"/>
        </w:rPr>
        <w:t xml:space="preserve">Primary Completion </w:t>
      </w:r>
      <w:proofErr w:type="gramStart"/>
      <w:r w:rsidRPr="0099271C">
        <w:rPr>
          <w:rFonts w:ascii="Minion Pro" w:eastAsia="Merriweather" w:hAnsi="Minion Pro" w:cs="Sylfaen"/>
          <w:b/>
          <w:bCs/>
          <w:color w:val="000000"/>
          <w:sz w:val="22"/>
          <w:szCs w:val="22"/>
        </w:rPr>
        <w:t>Rate</w:t>
      </w:r>
      <w:r w:rsidRPr="0099271C">
        <w:rPr>
          <w:rFonts w:ascii="Minion Pro" w:eastAsia="Merriweather" w:hAnsi="Minion Pro" w:cs="Sylfaen"/>
          <w:b/>
          <w:bCs/>
          <w:color w:val="000000"/>
          <w:sz w:val="22"/>
          <w:szCs w:val="22"/>
        </w:rPr>
        <w:t xml:space="preserve"> </w:t>
      </w:r>
      <w:r w:rsidRPr="0099271C">
        <w:rPr>
          <w:rFonts w:ascii="Minion Pro" w:eastAsia="Merriweather" w:hAnsi="Minion Pro" w:cs="Sylfaen"/>
          <w:color w:val="000000"/>
          <w:sz w:val="22"/>
          <w:szCs w:val="22"/>
        </w:rPr>
        <w:t>:</w:t>
      </w:r>
      <w:proofErr w:type="gramEnd"/>
      <w:r w:rsidRPr="0099271C">
        <w:rPr>
          <w:rFonts w:ascii="Minion Pro" w:eastAsia="Merriweather" w:hAnsi="Minion Pro" w:cs="Sylfaen"/>
          <w:color w:val="000000"/>
          <w:sz w:val="22"/>
          <w:szCs w:val="22"/>
        </w:rPr>
        <w:t xml:space="preserve"> </w:t>
      </w:r>
      <w:r w:rsidRPr="0099271C">
        <w:rPr>
          <w:rFonts w:ascii="Minion Pro" w:eastAsia="Merriweather" w:hAnsi="Minion Pro" w:cs="Sylfaen"/>
          <w:color w:val="000000"/>
          <w:sz w:val="22"/>
          <w:szCs w:val="22"/>
        </w:rPr>
        <w:t xml:space="preserve">The primary completion rate is the ratio of the total number of students </w:t>
      </w:r>
      <w:r w:rsidRPr="0099271C">
        <w:rPr>
          <w:rFonts w:ascii="Minion Pro" w:eastAsia="Merriweather" w:hAnsi="Minion Pro" w:cs="Sylfaen"/>
          <w:color w:val="000000"/>
          <w:sz w:val="22"/>
          <w:szCs w:val="22"/>
        </w:rPr>
        <w:t>successfully completing (or graduating from) the last year of primary school in a given year to the total number of children of official graduation age in the population.</w:t>
      </w:r>
    </w:p>
    <w:p w:rsidR="00C4107D" w:rsidRPr="0099271C" w:rsidRDefault="00C4107D" w:rsidP="0099271C">
      <w:pPr>
        <w:widowControl/>
        <w:rPr>
          <w:rFonts w:ascii="Minion Pro" w:eastAsia="Merriweather" w:hAnsi="Minion Pro" w:cs="Sylfaen"/>
          <w:color w:val="000000"/>
          <w:sz w:val="22"/>
          <w:szCs w:val="22"/>
        </w:rPr>
      </w:pPr>
    </w:p>
    <w:p w:rsidR="00C4107D" w:rsidRPr="0099271C" w:rsidRDefault="00885214" w:rsidP="0099271C">
      <w:pPr>
        <w:widowControl/>
        <w:rPr>
          <w:rFonts w:ascii="Minion Pro" w:eastAsia="Merriweather" w:hAnsi="Minion Pro" w:cs="Sylfaen"/>
          <w:color w:val="000000"/>
          <w:sz w:val="22"/>
          <w:szCs w:val="22"/>
        </w:rPr>
      </w:pPr>
      <w:r w:rsidRPr="0099271C">
        <w:rPr>
          <w:rFonts w:ascii="Minion Pro" w:eastAsia="Merriweather" w:hAnsi="Minion Pro" w:cs="Sylfaen"/>
          <w:b/>
          <w:bCs/>
          <w:color w:val="000000"/>
          <w:sz w:val="22"/>
          <w:szCs w:val="22"/>
        </w:rPr>
        <w:t xml:space="preserve">Survival rate to </w:t>
      </w:r>
      <w:proofErr w:type="gramStart"/>
      <w:r w:rsidRPr="0099271C">
        <w:rPr>
          <w:rFonts w:ascii="Minion Pro" w:eastAsia="Merriweather" w:hAnsi="Minion Pro" w:cs="Sylfaen"/>
          <w:b/>
          <w:bCs/>
          <w:color w:val="000000"/>
          <w:sz w:val="22"/>
          <w:szCs w:val="22"/>
        </w:rPr>
        <w:t>grade</w:t>
      </w:r>
      <w:r w:rsidRPr="0099271C">
        <w:rPr>
          <w:rFonts w:ascii="Minion Pro" w:eastAsia="Merriweather" w:hAnsi="Minion Pro" w:cs="Sylfaen"/>
          <w:b/>
          <w:bCs/>
          <w:color w:val="000000"/>
          <w:sz w:val="22"/>
          <w:szCs w:val="22"/>
        </w:rPr>
        <w:t xml:space="preserve"> </w:t>
      </w:r>
      <w:r w:rsidRPr="0099271C">
        <w:rPr>
          <w:rFonts w:ascii="Minion Pro" w:eastAsia="Merriweather" w:hAnsi="Minion Pro" w:cs="Sylfaen"/>
          <w:color w:val="000000"/>
          <w:sz w:val="22"/>
          <w:szCs w:val="22"/>
        </w:rPr>
        <w:t>:</w:t>
      </w:r>
      <w:proofErr w:type="gramEnd"/>
      <w:r w:rsidRPr="0099271C">
        <w:rPr>
          <w:rFonts w:ascii="Minion Pro" w:eastAsia="Merriweather" w:hAnsi="Minion Pro" w:cs="Sylfaen"/>
          <w:color w:val="000000"/>
          <w:sz w:val="22"/>
          <w:szCs w:val="22"/>
        </w:rPr>
        <w:t xml:space="preserve">  Percentage of a cohort of students enrolled in a given gra</w:t>
      </w:r>
      <w:r w:rsidRPr="0099271C">
        <w:rPr>
          <w:rFonts w:ascii="Minion Pro" w:eastAsia="Merriweather" w:hAnsi="Minion Pro" w:cs="Sylfaen"/>
          <w:color w:val="000000"/>
          <w:sz w:val="22"/>
          <w:szCs w:val="22"/>
        </w:rPr>
        <w:t>de in a given school year who are expected to reach a given grade, regardless of  repetition.</w:t>
      </w:r>
    </w:p>
    <w:p w:rsidR="00C4107D" w:rsidRPr="0099271C" w:rsidRDefault="00C4107D" w:rsidP="0099271C">
      <w:pPr>
        <w:widowControl/>
        <w:rPr>
          <w:rFonts w:ascii="Minion Pro" w:eastAsia="Merriweather" w:hAnsi="Minion Pro" w:cs="Sylfaen"/>
          <w:color w:val="000000"/>
          <w:sz w:val="22"/>
          <w:szCs w:val="22"/>
        </w:rPr>
      </w:pPr>
    </w:p>
    <w:p w:rsidR="00C4107D" w:rsidRPr="0099271C" w:rsidRDefault="00885214" w:rsidP="0099271C">
      <w:pPr>
        <w:widowControl/>
        <w:rPr>
          <w:rFonts w:ascii="Minion Pro" w:eastAsia="Merriweather" w:hAnsi="Minion Pro" w:cs="Sylfaen"/>
          <w:color w:val="000000"/>
          <w:sz w:val="22"/>
          <w:szCs w:val="22"/>
        </w:rPr>
      </w:pPr>
      <w:r w:rsidRPr="0099271C">
        <w:rPr>
          <w:rFonts w:ascii="Minion Pro" w:eastAsia="Merriweather" w:hAnsi="Minion Pro" w:cs="Sylfaen"/>
          <w:b/>
          <w:bCs/>
          <w:color w:val="000000"/>
          <w:sz w:val="22"/>
          <w:szCs w:val="22"/>
        </w:rPr>
        <w:t xml:space="preserve">Transition </w:t>
      </w:r>
      <w:proofErr w:type="gramStart"/>
      <w:r w:rsidRPr="0099271C">
        <w:rPr>
          <w:rFonts w:ascii="Minion Pro" w:eastAsia="Merriweather" w:hAnsi="Minion Pro" w:cs="Sylfaen"/>
          <w:b/>
          <w:bCs/>
          <w:color w:val="000000"/>
          <w:sz w:val="22"/>
          <w:szCs w:val="22"/>
        </w:rPr>
        <w:t>rate</w:t>
      </w:r>
      <w:r w:rsidRPr="0099271C">
        <w:rPr>
          <w:rFonts w:ascii="Minion Pro" w:eastAsia="Merriweather" w:hAnsi="Minion Pro" w:cs="Sylfaen"/>
          <w:b/>
          <w:bCs/>
          <w:color w:val="000000"/>
          <w:sz w:val="22"/>
          <w:szCs w:val="22"/>
        </w:rPr>
        <w:t xml:space="preserve"> </w:t>
      </w:r>
      <w:r w:rsidRPr="0099271C">
        <w:rPr>
          <w:rFonts w:ascii="Minion Pro" w:eastAsia="Merriweather" w:hAnsi="Minion Pro" w:cs="Sylfaen"/>
          <w:color w:val="000000"/>
          <w:sz w:val="22"/>
          <w:szCs w:val="22"/>
        </w:rPr>
        <w:t>:</w:t>
      </w:r>
      <w:proofErr w:type="gramEnd"/>
      <w:r w:rsidRPr="0099271C">
        <w:rPr>
          <w:rFonts w:ascii="Minion Pro" w:eastAsia="Merriweather" w:hAnsi="Minion Pro" w:cs="Sylfaen"/>
          <w:color w:val="000000"/>
          <w:sz w:val="22"/>
          <w:szCs w:val="22"/>
        </w:rPr>
        <w:t xml:space="preserve"> </w:t>
      </w:r>
      <w:r w:rsidRPr="0099271C">
        <w:rPr>
          <w:rFonts w:ascii="Minion Pro" w:eastAsia="Merriweather" w:hAnsi="Minion Pro" w:cs="Sylfaen"/>
          <w:color w:val="000000"/>
          <w:sz w:val="22"/>
          <w:szCs w:val="22"/>
        </w:rPr>
        <w:t>N</w:t>
      </w:r>
      <w:r w:rsidRPr="0099271C">
        <w:rPr>
          <w:rFonts w:ascii="Minion Pro" w:eastAsia="Merriweather" w:hAnsi="Minion Pro" w:cs="Sylfaen"/>
          <w:color w:val="000000"/>
          <w:sz w:val="22"/>
          <w:szCs w:val="22"/>
        </w:rPr>
        <w:t>ew entrants to the first grade of a given school level,</w:t>
      </w:r>
      <w:r w:rsidRPr="0099271C">
        <w:rPr>
          <w:rFonts w:ascii="Minion Pro" w:eastAsia="Merriweather" w:hAnsi="Minion Pro" w:cs="Sylfaen"/>
          <w:color w:val="000000"/>
          <w:sz w:val="22"/>
          <w:szCs w:val="22"/>
        </w:rPr>
        <w:t xml:space="preserve"> </w:t>
      </w:r>
      <w:r w:rsidRPr="0099271C">
        <w:rPr>
          <w:rFonts w:ascii="Minion Pro" w:eastAsia="Merriweather" w:hAnsi="Minion Pro" w:cs="Sylfaen"/>
          <w:color w:val="000000"/>
          <w:sz w:val="22"/>
          <w:szCs w:val="22"/>
        </w:rPr>
        <w:t>expressed as a percentage of the number of pupils enrolled in the final grade of given</w:t>
      </w:r>
      <w:r w:rsidRPr="0099271C">
        <w:rPr>
          <w:rFonts w:ascii="Minion Pro" w:eastAsia="Merriweather" w:hAnsi="Minion Pro" w:cs="Sylfaen"/>
          <w:color w:val="000000"/>
          <w:sz w:val="22"/>
          <w:szCs w:val="22"/>
        </w:rPr>
        <w:t xml:space="preserve"> level of education in the</w:t>
      </w:r>
      <w:r w:rsidRPr="0099271C">
        <w:rPr>
          <w:rFonts w:ascii="Minion Pro" w:eastAsia="Merriweather" w:hAnsi="Minion Pro" w:cs="Sylfaen"/>
          <w:color w:val="000000"/>
          <w:sz w:val="22"/>
          <w:szCs w:val="22"/>
        </w:rPr>
        <w:t xml:space="preserve"> </w:t>
      </w:r>
      <w:r w:rsidRPr="0099271C">
        <w:rPr>
          <w:rFonts w:ascii="Minion Pro" w:eastAsia="Merriweather" w:hAnsi="Minion Pro" w:cs="Sylfaen"/>
          <w:color w:val="000000"/>
          <w:sz w:val="22"/>
          <w:szCs w:val="22"/>
        </w:rPr>
        <w:t>previous year.</w:t>
      </w:r>
    </w:p>
    <w:p w:rsidR="00C4107D" w:rsidRPr="0099271C" w:rsidRDefault="00C4107D" w:rsidP="0099271C">
      <w:pPr>
        <w:widowControl/>
        <w:rPr>
          <w:rFonts w:ascii="Minion Pro" w:eastAsia="Merriweather" w:hAnsi="Minion Pro" w:cs="Sylfaen"/>
          <w:color w:val="000000"/>
          <w:sz w:val="22"/>
          <w:szCs w:val="22"/>
        </w:rPr>
      </w:pPr>
    </w:p>
    <w:p w:rsidR="00C4107D" w:rsidRPr="0099271C" w:rsidRDefault="00C4107D" w:rsidP="0099271C">
      <w:pPr>
        <w:widowControl/>
        <w:rPr>
          <w:rFonts w:ascii="Minion Pro" w:eastAsia="Merriweather" w:hAnsi="Minion Pro" w:cs="Sylfaen"/>
          <w:color w:val="000000"/>
          <w:sz w:val="22"/>
          <w:szCs w:val="22"/>
        </w:rPr>
      </w:pPr>
      <w:bookmarkStart w:id="0" w:name="_GoBack"/>
      <w:bookmarkEnd w:id="0"/>
    </w:p>
    <w:sectPr w:rsidR="00C4107D" w:rsidRPr="0099271C">
      <w:footerReference w:type="default" r:id="rId7"/>
      <w:pgSz w:w="12240" w:h="15840"/>
      <w:pgMar w:top="720" w:right="1080" w:bottom="1440" w:left="108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214" w:rsidRDefault="00885214">
      <w:r>
        <w:separator/>
      </w:r>
    </w:p>
  </w:endnote>
  <w:endnote w:type="continuationSeparator" w:id="0">
    <w:p w:rsidR="00885214" w:rsidRDefault="00885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Minion Pro light">
    <w:altName w:val="Times New Roman"/>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 w:name="Merriweather">
    <w:altName w:val="Segoe Print"/>
    <w:charset w:val="00"/>
    <w:family w:val="auto"/>
    <w:pitch w:val="default"/>
  </w:font>
  <w:font w:name="Minion Pro">
    <w:panose1 w:val="00000000000000000000"/>
    <w:charset w:val="00"/>
    <w:family w:val="roman"/>
    <w:notTrueType/>
    <w:pitch w:val="variable"/>
    <w:sig w:usb0="E00002AF" w:usb1="5000E07B" w:usb2="00000000" w:usb3="00000000" w:csb0="0000019F" w:csb1="00000000"/>
  </w:font>
  <w:font w:name="serif">
    <w:altName w:val="Segoe Print"/>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07D" w:rsidRDefault="00885214">
    <w:pPr>
      <w:widowControl/>
      <w:tabs>
        <w:tab w:val="center" w:pos="4680"/>
        <w:tab w:val="right" w:pos="9360"/>
      </w:tabs>
    </w:pPr>
    <w:r>
      <w:rPr>
        <w:rFonts w:ascii="Times New Roman" w:eastAsia="Times New Roman" w:hAnsi="Times New Roman" w:cs="Times New Roman"/>
        <w:color w:val="00000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214" w:rsidRDefault="00885214">
      <w:r>
        <w:separator/>
      </w:r>
    </w:p>
  </w:footnote>
  <w:footnote w:type="continuationSeparator" w:id="0">
    <w:p w:rsidR="00885214" w:rsidRDefault="008852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07D"/>
    <w:rsid w:val="00885214"/>
    <w:rsid w:val="0099271C"/>
    <w:rsid w:val="00C4107D"/>
    <w:rsid w:val="1A0D0936"/>
    <w:rsid w:val="26452EC4"/>
    <w:rsid w:val="418538E7"/>
    <w:rsid w:val="434540AD"/>
    <w:rsid w:val="442471A8"/>
    <w:rsid w:val="5ABF48C3"/>
    <w:rsid w:val="6A606FE2"/>
    <w:rsid w:val="6CDB1CF6"/>
    <w:rsid w:val="6DD732BC"/>
    <w:rsid w:val="710066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ECBF41-BB13-497B-9FEB-8F9329C19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1">
    <w:lsdException w:name="heading 1" w:qFormat="1"/>
    <w:lsdException w:name="heading 2"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pPr>
    <w:rPr>
      <w:rFonts w:ascii="Calibri" w:eastAsia="Calibri" w:hAnsi="Calibri" w:cs="Calibri"/>
      <w:sz w:val="24"/>
      <w:szCs w:val="24"/>
      <w:lang w:val="en-US"/>
    </w:rPr>
  </w:style>
  <w:style w:type="paragraph" w:styleId="Heading1">
    <w:name w:val="heading 1"/>
    <w:basedOn w:val="Normal"/>
    <w:next w:val="Normal"/>
    <w:qFormat/>
    <w:pPr>
      <w:keepNext/>
      <w:widowControl/>
      <w:spacing w:before="240" w:after="60"/>
      <w:outlineLvl w:val="0"/>
    </w:pPr>
    <w:rPr>
      <w:rFonts w:ascii="Cambria" w:eastAsia="Cambria" w:hAnsi="Cambria" w:cs="Cambria"/>
      <w:b/>
      <w:color w:val="000000"/>
      <w:sz w:val="32"/>
      <w:szCs w:val="32"/>
    </w:rPr>
  </w:style>
  <w:style w:type="paragraph" w:styleId="Heading2">
    <w:name w:val="heading 2"/>
    <w:basedOn w:val="Normal"/>
    <w:next w:val="Normal"/>
    <w:qFormat/>
    <w:pPr>
      <w:keepNext/>
      <w:widowControl/>
      <w:spacing w:before="240" w:after="60"/>
      <w:outlineLvl w:val="1"/>
    </w:pPr>
    <w:rPr>
      <w:rFonts w:ascii="Cambria" w:eastAsia="Cambria" w:hAnsi="Cambria" w:cs="Cambria"/>
      <w:b/>
      <w:i/>
      <w:color w:val="000000"/>
      <w:sz w:val="28"/>
      <w:szCs w:val="28"/>
    </w:rPr>
  </w:style>
  <w:style w:type="paragraph" w:styleId="Heading3">
    <w:name w:val="heading 3"/>
    <w:basedOn w:val="Normal"/>
    <w:next w:val="Normal"/>
    <w:pPr>
      <w:keepNext/>
      <w:keepLines/>
      <w:widowControl/>
      <w:spacing w:before="280" w:after="80"/>
      <w:outlineLvl w:val="2"/>
    </w:pPr>
    <w:rPr>
      <w:b/>
      <w:color w:val="000000"/>
      <w:sz w:val="28"/>
      <w:szCs w:val="28"/>
    </w:rPr>
  </w:style>
  <w:style w:type="paragraph" w:styleId="Heading4">
    <w:name w:val="heading 4"/>
    <w:basedOn w:val="Normal"/>
    <w:next w:val="Normal"/>
    <w:qFormat/>
    <w:pPr>
      <w:keepNext/>
      <w:widowControl/>
      <w:pBdr>
        <w:bottom w:val="single" w:sz="4" w:space="1" w:color="000000"/>
      </w:pBdr>
      <w:spacing w:before="240" w:after="60"/>
      <w:jc w:val="center"/>
      <w:outlineLvl w:val="3"/>
    </w:pPr>
    <w:rPr>
      <w:rFonts w:ascii="Verdana" w:eastAsia="Verdana" w:hAnsi="Verdana" w:cs="Verdana"/>
      <w:b/>
      <w:color w:val="000080"/>
    </w:rPr>
  </w:style>
  <w:style w:type="paragraph" w:styleId="Heading5">
    <w:name w:val="heading 5"/>
    <w:basedOn w:val="Normal"/>
    <w:next w:val="Normal"/>
    <w:qFormat/>
    <w:pPr>
      <w:keepNext/>
      <w:keepLines/>
      <w:widowControl/>
      <w:spacing w:before="220" w:after="40"/>
      <w:outlineLvl w:val="4"/>
    </w:pPr>
    <w:rPr>
      <w:b/>
      <w:color w:val="000000"/>
      <w:sz w:val="22"/>
      <w:szCs w:val="22"/>
    </w:rPr>
  </w:style>
  <w:style w:type="paragraph" w:styleId="Heading6">
    <w:name w:val="heading 6"/>
    <w:basedOn w:val="Normal"/>
    <w:next w:val="Normal"/>
    <w:qFormat/>
    <w:pPr>
      <w:keepNext/>
      <w:keepLines/>
      <w:widowControl/>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pPr>
      <w:spacing w:beforeAutospacing="1" w:afterAutospacing="1"/>
    </w:pPr>
    <w:rPr>
      <w:sz w:val="24"/>
      <w:szCs w:val="24"/>
      <w:lang w:val="en-US" w:eastAsia="zh-CN"/>
    </w:rPr>
  </w:style>
  <w:style w:type="paragraph" w:styleId="Subtitle">
    <w:name w:val="Subtitle"/>
    <w:basedOn w:val="Normal"/>
    <w:next w:val="Normal"/>
    <w:qFormat/>
    <w:pPr>
      <w:keepNext/>
      <w:keepLines/>
      <w:widowControl/>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widowControl/>
      <w:spacing w:before="480" w:after="120"/>
    </w:pPr>
    <w:rPr>
      <w:b/>
      <w:color w:val="000000"/>
      <w:sz w:val="72"/>
      <w:szCs w:val="72"/>
    </w:rPr>
  </w:style>
  <w:style w:type="table" w:customStyle="1" w:styleId="TableNormal1">
    <w:name w:val="Table Normal1"/>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795</Words>
  <Characters>4536</Characters>
  <Application>Microsoft Office Word</Application>
  <DocSecurity>0</DocSecurity>
  <Lines>37</Lines>
  <Paragraphs>10</Paragraphs>
  <ScaleCrop>false</ScaleCrop>
  <Company/>
  <LinksUpToDate>false</LinksUpToDate>
  <CharactersWithSpaces>5321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account</cp:lastModifiedBy>
  <cp:revision>2</cp:revision>
  <dcterms:created xsi:type="dcterms:W3CDTF">2021-08-29T08:55:00Z</dcterms:created>
  <dcterms:modified xsi:type="dcterms:W3CDTF">2022-09-29T08:25:00Z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1033-11.2.0.10233</vt:lpwstr>
  </property>
</Properties>
</file>