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671" w:rsidRDefault="00762671" w:rsidP="00762671">
      <w:r>
        <w:t>The Examining Attorney founds his refusal of registration of the applied mark on the following:</w:t>
      </w:r>
    </w:p>
    <w:p w:rsidR="00762671" w:rsidRDefault="00762671" w:rsidP="00762671">
      <w:pPr>
        <w:pStyle w:val="ListParagraph"/>
        <w:numPr>
          <w:ilvl w:val="0"/>
          <w:numId w:val="1"/>
        </w:numPr>
        <w:ind w:left="450"/>
      </w:pPr>
      <w:r>
        <w:t>Similarity of the marks</w:t>
      </w:r>
    </w:p>
    <w:p w:rsidR="00762671" w:rsidRDefault="00762671" w:rsidP="00762671">
      <w:pPr>
        <w:pStyle w:val="ListParagraph"/>
        <w:numPr>
          <w:ilvl w:val="0"/>
          <w:numId w:val="1"/>
        </w:numPr>
        <w:ind w:left="450"/>
      </w:pPr>
      <w:r>
        <w:t>Similarity and nature of goods</w:t>
      </w:r>
    </w:p>
    <w:p w:rsidR="00762671" w:rsidRDefault="00762671" w:rsidP="00762671">
      <w:pPr>
        <w:pStyle w:val="ListParagraph"/>
        <w:numPr>
          <w:ilvl w:val="0"/>
          <w:numId w:val="1"/>
        </w:numPr>
        <w:ind w:left="450"/>
      </w:pPr>
      <w:r>
        <w:t>Similarity of the trade channels</w:t>
      </w:r>
    </w:p>
    <w:p w:rsidR="00762671" w:rsidRDefault="00762671" w:rsidP="00DA7D89"/>
    <w:p w:rsidR="00B45030" w:rsidRDefault="00B45030" w:rsidP="00DA7D89">
      <w:pPr>
        <w:rPr>
          <w:b/>
        </w:rPr>
      </w:pPr>
    </w:p>
    <w:p w:rsidR="00715FC3" w:rsidRDefault="00715FC3" w:rsidP="00715FC3">
      <w:pPr>
        <w:rPr>
          <w:b/>
        </w:rPr>
      </w:pPr>
      <w:r>
        <w:rPr>
          <w:b/>
        </w:rPr>
        <w:t>Examining Attorney’s Assumptions &amp; Determinations</w:t>
      </w:r>
    </w:p>
    <w:p w:rsidR="00715FC3" w:rsidRDefault="00715FC3" w:rsidP="00DA7D89">
      <w:r>
        <w:t>The Examining Attorney (herein referred to as the EA) assumes and has determined the following:</w:t>
      </w:r>
    </w:p>
    <w:p w:rsidR="00715FC3" w:rsidRDefault="00715FC3" w:rsidP="00715FC3">
      <w:pPr>
        <w:pStyle w:val="ListParagraph"/>
        <w:numPr>
          <w:ilvl w:val="0"/>
          <w:numId w:val="2"/>
        </w:numPr>
        <w:ind w:left="450"/>
      </w:pPr>
      <w:r>
        <w:t>“…a determination of likelihood of confusion…is made on a case-by-case basis…”</w:t>
      </w:r>
    </w:p>
    <w:p w:rsidR="00A137BD" w:rsidRDefault="00A137BD" w:rsidP="00715FC3">
      <w:pPr>
        <w:pStyle w:val="ListParagraph"/>
        <w:numPr>
          <w:ilvl w:val="0"/>
          <w:numId w:val="2"/>
        </w:numPr>
        <w:ind w:left="450"/>
      </w:pPr>
      <w:r>
        <w:t>“…the following factors are most relevant to [the refusal of applicant’s mark]: similarity of the marks, similarity and nature of the goods, and similarity of the trade channel of the goods.”</w:t>
      </w:r>
    </w:p>
    <w:p w:rsidR="00715FC3" w:rsidRDefault="00715FC3" w:rsidP="00715FC3">
      <w:pPr>
        <w:pStyle w:val="ListParagraph"/>
        <w:numPr>
          <w:ilvl w:val="0"/>
          <w:numId w:val="2"/>
        </w:numPr>
        <w:ind w:left="450"/>
      </w:pPr>
      <w:r>
        <w:t>“…there is no correct pronunciation of a mark because it is impossible to predict how the public will pronounce a particular mark.”</w:t>
      </w:r>
    </w:p>
    <w:p w:rsidR="00A137BD" w:rsidRDefault="00A137BD" w:rsidP="00A137BD"/>
    <w:p w:rsidR="00A137BD" w:rsidRPr="00A137BD" w:rsidRDefault="00A137BD" w:rsidP="00A137BD">
      <w:pPr>
        <w:rPr>
          <w:b/>
        </w:rPr>
      </w:pPr>
      <w:r w:rsidRPr="00A137BD">
        <w:rPr>
          <w:b/>
        </w:rPr>
        <w:t>Comparison of Marks</w:t>
      </w:r>
    </w:p>
    <w:p w:rsidR="001E3BBC" w:rsidRDefault="00A137BD" w:rsidP="00A137BD">
      <w:r>
        <w:t xml:space="preserve">The evidence </w:t>
      </w:r>
      <w:r w:rsidR="001E3BBC">
        <w:t xml:space="preserve">and arguments </w:t>
      </w:r>
      <w:r>
        <w:t>presented by the E</w:t>
      </w:r>
      <w:r w:rsidR="001E3BBC">
        <w:t xml:space="preserve">A is neither </w:t>
      </w:r>
      <w:r>
        <w:t xml:space="preserve">relevant nor valid to </w:t>
      </w:r>
      <w:r w:rsidR="001E3BBC">
        <w:t xml:space="preserve">the </w:t>
      </w:r>
      <w:proofErr w:type="spellStart"/>
      <w:r>
        <w:t>registrability</w:t>
      </w:r>
      <w:proofErr w:type="spellEnd"/>
      <w:r>
        <w:t xml:space="preserve"> of the Applicant’s mark</w:t>
      </w:r>
      <w:r w:rsidR="001E3BBC">
        <w:t xml:space="preserve">. </w:t>
      </w:r>
    </w:p>
    <w:p w:rsidR="001E3BBC" w:rsidRDefault="001E3BBC" w:rsidP="00A137BD">
      <w:r>
        <w:t>Consumer Assumptions</w:t>
      </w:r>
    </w:p>
    <w:p w:rsidR="001E3BBC" w:rsidRDefault="001E3BBC" w:rsidP="00A137BD">
      <w:r>
        <w:t xml:space="preserve">The EA asserts that it is “impossible to predict how the public will pronounce a particular mark” establishing the </w:t>
      </w:r>
    </w:p>
    <w:p w:rsidR="001E3BBC" w:rsidRDefault="001E3BBC" w:rsidP="00A137BD">
      <w:r>
        <w:t xml:space="preserve">If one can’t predict </w:t>
      </w:r>
    </w:p>
    <w:p w:rsidR="001E3BBC" w:rsidRDefault="001E3BBC" w:rsidP="00A137BD"/>
    <w:p w:rsidR="001E3BBC" w:rsidRDefault="001E3BBC" w:rsidP="00A137BD"/>
    <w:p w:rsidR="001E3BBC" w:rsidRDefault="001E3BBC" w:rsidP="00A137BD"/>
    <w:p w:rsidR="001E3BBC" w:rsidRDefault="001E3BBC" w:rsidP="00A137BD"/>
    <w:p w:rsidR="001E3BBC" w:rsidRDefault="001E3BBC" w:rsidP="00A137BD"/>
    <w:p w:rsidR="00A137BD" w:rsidRDefault="001E3BBC" w:rsidP="00A137BD">
      <w:r>
        <w:t xml:space="preserve">The EA misapplies citations that have little or no relevance to the Applicant’s or Registrant’s marks. </w:t>
      </w:r>
    </w:p>
    <w:p w:rsidR="00A137BD" w:rsidRDefault="00A137BD" w:rsidP="00A137BD"/>
    <w:p w:rsidR="001E3BBC" w:rsidRDefault="001E3BBC" w:rsidP="00DA7D89">
      <w:pPr>
        <w:rPr>
          <w:b/>
        </w:rPr>
      </w:pPr>
    </w:p>
    <w:p w:rsidR="00B45030" w:rsidRDefault="00B45030" w:rsidP="00DA7D89">
      <w:pPr>
        <w:rPr>
          <w:b/>
        </w:rPr>
      </w:pPr>
      <w:r>
        <w:rPr>
          <w:b/>
        </w:rPr>
        <w:t>PPL v. Peepl</w:t>
      </w:r>
    </w:p>
    <w:p w:rsidR="00B45030" w:rsidRDefault="00B45030" w:rsidP="00DA7D89">
      <w:r>
        <w:t>The Examining Attorney posits that PPL and peepl are pronounced phonetically the same, as ‘people’.</w:t>
      </w:r>
    </w:p>
    <w:p w:rsidR="00715FC3" w:rsidRDefault="00715FC3" w:rsidP="00DA7D89">
      <w:r>
        <w:t>Homophones</w:t>
      </w:r>
    </w:p>
    <w:p w:rsidR="00715FC3" w:rsidRDefault="00715FC3" w:rsidP="00DA7D89">
      <w:r>
        <w:t>Homonyms</w:t>
      </w:r>
    </w:p>
    <w:p w:rsidR="00B45030" w:rsidRDefault="00B45030" w:rsidP="00DA7D89">
      <w:pPr>
        <w:rPr>
          <w:b/>
        </w:rPr>
      </w:pPr>
    </w:p>
    <w:p w:rsidR="00B45030" w:rsidRDefault="00B45030" w:rsidP="00DA7D89">
      <w:pPr>
        <w:rPr>
          <w:b/>
        </w:rPr>
      </w:pPr>
    </w:p>
    <w:p w:rsidR="008D067B" w:rsidRPr="008D067B" w:rsidRDefault="008D067B" w:rsidP="00DA7D89">
      <w:pPr>
        <w:rPr>
          <w:b/>
        </w:rPr>
      </w:pPr>
      <w:r w:rsidRPr="008D067B">
        <w:rPr>
          <w:b/>
        </w:rPr>
        <w:t>Similarity and Nature of Goods/Similarity of Trade Channels</w:t>
      </w:r>
    </w:p>
    <w:p w:rsidR="00762671" w:rsidRDefault="00762671" w:rsidP="00DA7D89">
      <w:r>
        <w:t>Applicant believes it would assist the Examining Attorney (herein referred to as EA) to have a better understanding of the purpose and function of its goods.</w:t>
      </w:r>
    </w:p>
    <w:p w:rsidR="005C3BB1" w:rsidRDefault="005C3BB1" w:rsidP="00DA7D89"/>
    <w:p w:rsidR="008368C4" w:rsidRDefault="00100AAA" w:rsidP="00100AAA">
      <w:r>
        <w:t xml:space="preserve">The Applicant’s product (goods) is computer software developed for mobile application platforms – specifically smartphones – for the purpose of providing real-time information on where people are and how many people are there. It is a consumer-based, purposed, and operated product. It is not intended or purposed nor has the functionality for </w:t>
      </w:r>
      <w:r w:rsidRPr="00DA7D89">
        <w:t>creating, calendaring, and tracking information related to planned events occurring in an industry or profession where temporary vendors, employees or volunteers are required; computer software for communicating details regarding planned events to parties to the event, namely, buyers, event contacts, venue contacts and vendors; computer software for hiring and managing vendors or employees required for planned events; computer software for creating and sending contracts and event information to principal parties to the event</w:t>
      </w:r>
      <w:r>
        <w:t xml:space="preserve">, as is the </w:t>
      </w:r>
      <w:r>
        <w:lastRenderedPageBreak/>
        <w:t xml:space="preserve">conflicting Registrant’s (PPL, herein referred to as the Registrant) product (goods). This, the Registrant’s software/goods, as defined by the preceding description/definition, is a business-to-business, enterprise software application that serves business clientele specifically, a wholly different, distinguishable business purpose, operation, and marketplace from the Applicant’s.  </w:t>
      </w:r>
    </w:p>
    <w:p w:rsidR="008368C4" w:rsidRDefault="00100AAA" w:rsidP="00100AAA">
      <w:r>
        <w:t xml:space="preserve">The Applicant’s marketplace is the consumer; the Registrant’s is business. </w:t>
      </w:r>
    </w:p>
    <w:p w:rsidR="00100AAA" w:rsidRDefault="008368C4" w:rsidP="00100AAA">
      <w:r>
        <w:t xml:space="preserve">The Applicant’s channel of trade is through mobile application platforms – smartphones; the Registrant’s is not identified. </w:t>
      </w:r>
    </w:p>
    <w:p w:rsidR="008368C4" w:rsidRDefault="008368C4" w:rsidP="00100AAA"/>
    <w:p w:rsidR="008368C4" w:rsidRDefault="008368C4" w:rsidP="00100AAA">
      <w:r>
        <w:t xml:space="preserve">How can you assume the same channels of trade when the Registrant has not identified a channel of trade? In today’s world a laptop or desktop computer is a different channel of trade than a smartphone or a tablet in as software programs and </w:t>
      </w:r>
      <w:r w:rsidR="00DD76AF">
        <w:t xml:space="preserve">applications can be and are </w:t>
      </w:r>
      <w:r>
        <w:t xml:space="preserve">developed specifically for each channel. Obviously software can and is developed to apply to all channels simultaneously but each channel has its own parameters and requires different </w:t>
      </w:r>
      <w:r w:rsidR="00DD76AF">
        <w:t>programming processes. Most mobile applications do not operate concurrently as websites/</w:t>
      </w:r>
      <w:proofErr w:type="spellStart"/>
      <w:r w:rsidR="00DD76AF">
        <w:t>ie</w:t>
      </w:r>
      <w:proofErr w:type="spellEnd"/>
      <w:r w:rsidR="00DD76AF">
        <w:t xml:space="preserve"> on a laptop/desktop computer as they’re intended and only channel of distribution is through the mobile application devices, </w:t>
      </w:r>
      <w:proofErr w:type="spellStart"/>
      <w:r w:rsidR="00DD76AF">
        <w:t>ie</w:t>
      </w:r>
      <w:proofErr w:type="spellEnd"/>
      <w:r w:rsidR="00DD76AF">
        <w:t xml:space="preserve"> smartphones. This distinguishes the Applicant’s channel of trade as it is specific to mobile application devices. The Registrant’s channel of trade is not defined and cannot be assumed to be the same. Based on these obvious and clear distinctions, the presumption that the identified goods travel in the same channels of trade to the same class of purchasers, as the EA </w:t>
      </w:r>
      <w:r w:rsidR="008D067B">
        <w:t>has made</w:t>
      </w:r>
      <w:r w:rsidR="00DD76AF">
        <w:t>, is a loose, obstructive</w:t>
      </w:r>
      <w:r w:rsidR="008D067B">
        <w:t>, and incorrect application of unrelated case citations and should be withdrawn.</w:t>
      </w:r>
    </w:p>
    <w:p w:rsidR="00B45030" w:rsidRDefault="00B45030" w:rsidP="00100AAA"/>
    <w:p w:rsidR="00B45030" w:rsidRDefault="00B45030" w:rsidP="00100AAA">
      <w:r>
        <w:t xml:space="preserve">Confusion </w:t>
      </w:r>
    </w:p>
    <w:p w:rsidR="00100AAA" w:rsidRDefault="00100AAA" w:rsidP="00100AAA"/>
    <w:p w:rsidR="00100AAA" w:rsidRDefault="00100AAA" w:rsidP="00100AAA"/>
    <w:p w:rsidR="00715FC3" w:rsidRPr="00715FC3" w:rsidRDefault="00715FC3" w:rsidP="00715FC3">
      <w:pPr>
        <w:rPr>
          <w:b/>
        </w:rPr>
      </w:pPr>
      <w:r w:rsidRPr="00715FC3">
        <w:rPr>
          <w:b/>
        </w:rPr>
        <w:t>Summary</w:t>
      </w:r>
    </w:p>
    <w:p w:rsidR="00715FC3" w:rsidRDefault="00715FC3" w:rsidP="00715FC3">
      <w:r>
        <w:t>The Applicant mark is completely different from the Registrant mark.</w:t>
      </w:r>
    </w:p>
    <w:p w:rsidR="00715FC3" w:rsidRPr="00715FC3" w:rsidRDefault="00715FC3" w:rsidP="00715FC3">
      <w:r>
        <w:t>The style and</w:t>
      </w:r>
    </w:p>
    <w:p w:rsidR="00100AAA" w:rsidRDefault="00100AAA" w:rsidP="00100AAA"/>
    <w:p w:rsidR="00100AAA" w:rsidRDefault="00100AAA" w:rsidP="00DA7D89">
      <w:pPr>
        <w:rPr>
          <w:b/>
        </w:rPr>
      </w:pPr>
    </w:p>
    <w:p w:rsidR="00100AAA" w:rsidRDefault="00100AAA" w:rsidP="00DA7D89">
      <w:pPr>
        <w:rPr>
          <w:b/>
        </w:rPr>
      </w:pPr>
    </w:p>
    <w:p w:rsidR="00100AAA" w:rsidRDefault="00100AAA" w:rsidP="00DA7D89">
      <w:pPr>
        <w:rPr>
          <w:b/>
        </w:rPr>
      </w:pPr>
    </w:p>
    <w:p w:rsidR="008368C4" w:rsidRDefault="008368C4" w:rsidP="00DA7D89">
      <w:pPr>
        <w:rPr>
          <w:b/>
        </w:rPr>
      </w:pPr>
    </w:p>
    <w:p w:rsidR="008368C4" w:rsidRDefault="008368C4" w:rsidP="00DA7D89">
      <w:pPr>
        <w:rPr>
          <w:b/>
        </w:rPr>
      </w:pPr>
    </w:p>
    <w:p w:rsidR="008368C4" w:rsidRDefault="008368C4" w:rsidP="00DA7D89">
      <w:pPr>
        <w:rPr>
          <w:b/>
        </w:rPr>
      </w:pPr>
    </w:p>
    <w:p w:rsidR="00B45030" w:rsidRDefault="00B45030" w:rsidP="00DA7D89">
      <w:pPr>
        <w:rPr>
          <w:b/>
        </w:rPr>
      </w:pPr>
    </w:p>
    <w:p w:rsidR="00B45030" w:rsidRDefault="00B45030" w:rsidP="00DA7D89">
      <w:pPr>
        <w:rPr>
          <w:b/>
        </w:rPr>
      </w:pPr>
    </w:p>
    <w:p w:rsidR="00B45030" w:rsidRDefault="00B45030" w:rsidP="00DA7D89">
      <w:pPr>
        <w:rPr>
          <w:b/>
        </w:rPr>
      </w:pPr>
    </w:p>
    <w:p w:rsidR="00B45030" w:rsidRDefault="00B45030" w:rsidP="00DA7D89">
      <w:pPr>
        <w:rPr>
          <w:b/>
        </w:rPr>
      </w:pPr>
    </w:p>
    <w:p w:rsidR="005C3BB1" w:rsidRPr="005C3BB1" w:rsidRDefault="005C3BB1" w:rsidP="00DA7D89">
      <w:pPr>
        <w:rPr>
          <w:b/>
        </w:rPr>
      </w:pPr>
      <w:r w:rsidRPr="005C3BB1">
        <w:rPr>
          <w:b/>
        </w:rPr>
        <w:t>What Applicant’s Product (Goods) Is Not:</w:t>
      </w:r>
    </w:p>
    <w:p w:rsidR="005C3BB1" w:rsidRDefault="005C3BB1" w:rsidP="00DA7D89">
      <w:r>
        <w:t xml:space="preserve">The </w:t>
      </w:r>
      <w:r w:rsidR="00762671">
        <w:t>Applicant’</w:t>
      </w:r>
      <w:r w:rsidR="009048DB">
        <w:t>s product (goods)</w:t>
      </w:r>
      <w:r w:rsidR="00DA7D89" w:rsidRPr="00DA7D89">
        <w:t xml:space="preserve"> is </w:t>
      </w:r>
      <w:r w:rsidR="00911A51">
        <w:t xml:space="preserve">NOT </w:t>
      </w:r>
      <w:r w:rsidR="00DA7D89">
        <w:t>c</w:t>
      </w:r>
      <w:r w:rsidR="00DA7D89" w:rsidRPr="00DA7D89">
        <w:t>omputer software for creating, calendaring, and tracking information related to planned events occurring in an industry or profession where temporary vendors, employees or volunteers are required; computer software for communicating details regarding planned events to parties to the event, namely, buyers, event contacts, venue contacts and vendors; computer software for hiring and managing vendors or employees required for planned events; computer software for creating and sending contracts and event information to principal parties to the event</w:t>
      </w:r>
      <w:r>
        <w:t>, as is the conflicting Registrant’s</w:t>
      </w:r>
      <w:r w:rsidR="009048DB">
        <w:t xml:space="preserve"> (PPL, herein referred to as the Registrant)</w:t>
      </w:r>
      <w:r>
        <w:t>. This</w:t>
      </w:r>
      <w:r w:rsidR="009048DB">
        <w:t xml:space="preserve">, the </w:t>
      </w:r>
      <w:r>
        <w:t>Registrant’s software/goods, as defined by the preceding description/definition, is a business-to-business</w:t>
      </w:r>
      <w:r w:rsidR="00762671">
        <w:t xml:space="preserve">, enterprise </w:t>
      </w:r>
      <w:r w:rsidR="00762671">
        <w:lastRenderedPageBreak/>
        <w:t xml:space="preserve">software application </w:t>
      </w:r>
      <w:r>
        <w:t xml:space="preserve">that serves business clientele specifically, a </w:t>
      </w:r>
      <w:r w:rsidR="00762671">
        <w:t xml:space="preserve">wholly different, distinguishable </w:t>
      </w:r>
      <w:r>
        <w:t xml:space="preserve">business purpose, operation, and </w:t>
      </w:r>
      <w:r w:rsidR="00762671">
        <w:t xml:space="preserve">marketplace from the Applicant’s. </w:t>
      </w:r>
    </w:p>
    <w:p w:rsidR="005C3BB1" w:rsidRDefault="005C3BB1" w:rsidP="00DA7D89"/>
    <w:p w:rsidR="009048DB" w:rsidRPr="009048DB" w:rsidRDefault="009048DB" w:rsidP="00DA7D89">
      <w:pPr>
        <w:rPr>
          <w:b/>
        </w:rPr>
      </w:pPr>
      <w:r w:rsidRPr="009048DB">
        <w:rPr>
          <w:b/>
        </w:rPr>
        <w:t>What Applicant’s Product (Goods) Is:</w:t>
      </w:r>
    </w:p>
    <w:p w:rsidR="00C72741" w:rsidRDefault="009048DB" w:rsidP="00DA7D89">
      <w:r>
        <w:t xml:space="preserve">The Applicant’s product (goods) </w:t>
      </w:r>
      <w:r w:rsidR="00911A51">
        <w:t xml:space="preserve">is </w:t>
      </w:r>
      <w:r>
        <w:t>comput</w:t>
      </w:r>
      <w:r w:rsidR="00911A51">
        <w:t xml:space="preserve">er software developed for </w:t>
      </w:r>
      <w:r>
        <w:t>mob</w:t>
      </w:r>
      <w:r w:rsidR="00911A51">
        <w:t>ile application platforms</w:t>
      </w:r>
      <w:r>
        <w:t xml:space="preserve"> –</w:t>
      </w:r>
      <w:r w:rsidR="00911A51">
        <w:t xml:space="preserve"> specifically smartphones </w:t>
      </w:r>
      <w:r>
        <w:t xml:space="preserve">– </w:t>
      </w:r>
      <w:r w:rsidR="00911A51">
        <w:t>for the purpose of providing real-time information on where people are and how</w:t>
      </w:r>
      <w:r w:rsidR="00C72741">
        <w:t xml:space="preserve"> many people are there. </w:t>
      </w:r>
      <w:r w:rsidR="00100AAA">
        <w:t>It is a consumer-based, purposed, and operated product.</w:t>
      </w:r>
    </w:p>
    <w:p w:rsidR="00C72741" w:rsidRDefault="00C72741" w:rsidP="00DA7D89"/>
    <w:p w:rsidR="00C72741" w:rsidRDefault="00C72741" w:rsidP="00DA7D89"/>
    <w:p w:rsidR="00911A51" w:rsidRDefault="00911A51" w:rsidP="00DA7D89">
      <w:r>
        <w:t>Although</w:t>
      </w:r>
    </w:p>
    <w:p w:rsidR="009048DB" w:rsidRDefault="00911A51" w:rsidP="00DA7D89">
      <w:proofErr w:type="gramStart"/>
      <w:r>
        <w:t>in</w:t>
      </w:r>
      <w:proofErr w:type="gramEnd"/>
      <w:r>
        <w:t xml:space="preserve"> order </w:t>
      </w:r>
      <w:r w:rsidR="009048DB">
        <w:t xml:space="preserve">to serve the consumer marketplace by providing </w:t>
      </w:r>
      <w:r>
        <w:t xml:space="preserve">real-time </w:t>
      </w:r>
      <w:r w:rsidR="009048DB">
        <w:t xml:space="preserve">information about </w:t>
      </w:r>
      <w:r>
        <w:t xml:space="preserve">how populated a venue or </w:t>
      </w:r>
      <w:proofErr w:type="spellStart"/>
      <w:r>
        <w:t>estab</w:t>
      </w:r>
      <w:proofErr w:type="spellEnd"/>
    </w:p>
    <w:p w:rsidR="009048DB" w:rsidRDefault="009048DB" w:rsidP="00DA7D89"/>
    <w:p w:rsidR="009048DB" w:rsidRDefault="005C3BB1" w:rsidP="00DA7D89">
      <w:r>
        <w:t>Although t</w:t>
      </w:r>
      <w:r w:rsidR="00762671">
        <w:t>he Applicant’</w:t>
      </w:r>
      <w:r w:rsidR="009048DB">
        <w:t xml:space="preserve">s product (goods) operates as computer software, the similarities in purpose and function between Applicant’s and Registrant’s ceases with that commonality. Yes both are computer software and must be coded accordingly; no they are not similar in any form or function </w:t>
      </w:r>
      <w:proofErr w:type="spellStart"/>
      <w:r w:rsidR="009048DB">
        <w:t>there after</w:t>
      </w:r>
      <w:proofErr w:type="spellEnd"/>
      <w:r w:rsidR="009048DB">
        <w:t>.</w:t>
      </w:r>
    </w:p>
    <w:p w:rsidR="005C3BB1" w:rsidRDefault="005C3BB1" w:rsidP="00DA7D89"/>
    <w:p w:rsidR="00762671" w:rsidRPr="00DA7D89" w:rsidRDefault="00762671" w:rsidP="00DA7D89">
      <w:r>
        <w:t xml:space="preserve">The Applicant’s software is a mobile application that </w:t>
      </w:r>
    </w:p>
    <w:p w:rsidR="00DA7D89" w:rsidRDefault="00DA7D89"/>
    <w:p w:rsidR="00D97D9C" w:rsidRDefault="00D97D9C"/>
    <w:p w:rsidR="00D97D9C" w:rsidRDefault="00D97D9C">
      <w:r>
        <w:t>Specify the channels</w:t>
      </w:r>
    </w:p>
    <w:p w:rsidR="00D97D9C" w:rsidRDefault="00D97D9C"/>
    <w:p w:rsidR="00D97D9C" w:rsidRDefault="00D97D9C"/>
    <w:p w:rsidR="00D97D9C" w:rsidRDefault="00D97D9C" w:rsidP="00D97D9C">
      <w:r>
        <w:t>The EA just assumes the same channels based on what evidence?</w:t>
      </w:r>
    </w:p>
    <w:p w:rsidR="00D97D9C" w:rsidRDefault="00D97D9C" w:rsidP="00D97D9C">
      <w:r>
        <w:t>The Registrant didn’t establish clear channels</w:t>
      </w:r>
    </w:p>
    <w:p w:rsidR="00D97D9C" w:rsidRDefault="00D97D9C" w:rsidP="00D97D9C"/>
    <w:p w:rsidR="00D97D9C" w:rsidRDefault="00D97D9C" w:rsidP="00D97D9C"/>
    <w:p w:rsidR="00D97D9C" w:rsidRDefault="00D97D9C" w:rsidP="00D97D9C">
      <w:r>
        <w:t>So to automatically and immediately disclose the visual aspects of the mark in side by side or other comparisons needlessly and falsely eliminates its intended commercial impression</w:t>
      </w:r>
    </w:p>
    <w:p w:rsidR="00D97D9C" w:rsidRDefault="00D97D9C" w:rsidP="00D97D9C"/>
    <w:p w:rsidR="00D97D9C" w:rsidRDefault="00D97D9C" w:rsidP="00D97D9C">
      <w:r>
        <w:t>The Examining Attorney say you can’t take it in its entirety but these cases state you must, and entirety</w:t>
      </w:r>
    </w:p>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p w:rsidR="00D97D9C" w:rsidRDefault="00D97D9C" w:rsidP="00D97D9C">
      <w:r>
        <w:t>Contradictory Speculation of the Examining Attorney</w:t>
      </w:r>
    </w:p>
    <w:p w:rsidR="00D97D9C" w:rsidRDefault="00D97D9C" w:rsidP="00D97D9C"/>
    <w:p w:rsidR="00D97D9C" w:rsidRDefault="00D97D9C" w:rsidP="00D97D9C">
      <w:r>
        <w:t xml:space="preserve">It goes to reason then that peepl and </w:t>
      </w:r>
      <w:proofErr w:type="spellStart"/>
      <w:r>
        <w:t>ppl</w:t>
      </w:r>
      <w:proofErr w:type="spellEnd"/>
      <w:r>
        <w:t xml:space="preserve"> can be will be easily distinguished by the general public and </w:t>
      </w:r>
    </w:p>
    <w:p w:rsidR="00D97D9C" w:rsidRDefault="00D97D9C" w:rsidP="00D97D9C"/>
    <w:p w:rsidR="00D97D9C" w:rsidRDefault="00D97D9C" w:rsidP="00D97D9C"/>
    <w:p w:rsidR="00D97D9C" w:rsidRDefault="00D97D9C" w:rsidP="00D97D9C"/>
    <w:p w:rsidR="00D97D9C" w:rsidRDefault="00D97D9C" w:rsidP="00D97D9C">
      <w:proofErr w:type="gramStart"/>
      <w:r>
        <w:t>will</w:t>
      </w:r>
      <w:proofErr w:type="gramEnd"/>
      <w:r>
        <w:t xml:space="preserve"> not be confuse the public as to the source of goods.</w:t>
      </w:r>
    </w:p>
    <w:p w:rsidR="00D97D9C" w:rsidRDefault="00D97D9C" w:rsidP="00D97D9C"/>
    <w:p w:rsidR="00D97D9C" w:rsidRDefault="00D97D9C" w:rsidP="00D97D9C">
      <w:r>
        <w:t xml:space="preserve">he Examining Attorney other than the Registrant’s mark cannot be assumed to be pronounced as the word “people” as the possibility of being pronounced as three distinct letters ‘p’, ‘p’, ‘l’ is even greater since PPL is a popular acronym. It is inferred from its application that PPL is an acronym for the company Purple People Leaders, LLC, the Registrant of the mark, and as such the likelihood of PPL being pronounced as letters is much greater than the mark being pronounced as the word “people”. </w:t>
      </w:r>
    </w:p>
    <w:p w:rsidR="00D97D9C" w:rsidRDefault="00D97D9C" w:rsidP="00D97D9C"/>
    <w:p w:rsidR="00D97D9C" w:rsidRDefault="00D97D9C" w:rsidP="00D97D9C">
      <w:r>
        <w:t xml:space="preserve">Since there is no asserted pronunciation of PPL, it cannot be assumed that it would be pronounced “people” and not </w:t>
      </w:r>
      <w:proofErr w:type="spellStart"/>
      <w:r>
        <w:t>p</w:t>
      </w:r>
      <w:proofErr w:type="gramStart"/>
      <w:r>
        <w:t>,p,l</w:t>
      </w:r>
      <w:proofErr w:type="spellEnd"/>
      <w:proofErr w:type="gramEnd"/>
      <w:r>
        <w:t xml:space="preserve">. </w:t>
      </w:r>
    </w:p>
    <w:p w:rsidR="00D97D9C" w:rsidRDefault="00D97D9C" w:rsidP="00D97D9C"/>
    <w:p w:rsidR="00D97D9C" w:rsidRDefault="00D97D9C" w:rsidP="00D97D9C">
      <w:r>
        <w:t xml:space="preserve">If it is impossible to </w:t>
      </w:r>
    </w:p>
    <w:p w:rsidR="00D97D9C" w:rsidRDefault="00D97D9C" w:rsidP="00D97D9C"/>
    <w:p w:rsidR="00D97D9C" w:rsidRDefault="00D97D9C" w:rsidP="00D97D9C">
      <w:r>
        <w:t xml:space="preserve">Also in the Examining Attorney contradicts himself by asserting the impossibility of predicting how the public will pronounce a mark but later in the </w:t>
      </w:r>
      <w:proofErr w:type="gramStart"/>
      <w:r>
        <w:t>response</w:t>
      </w:r>
      <w:proofErr w:type="gramEnd"/>
    </w:p>
    <w:p w:rsidR="00D97D9C" w:rsidRDefault="00D97D9C" w:rsidP="00D97D9C"/>
    <w:p w:rsidR="00D97D9C" w:rsidRDefault="00D97D9C" w:rsidP="00D97D9C">
      <w:r>
        <w:t xml:space="preserve">How is it that the Examining Attorney can predict the public will or will not pronounce a word but you do know they will be confused by the word and won’t be able to discern differences in application and </w:t>
      </w:r>
      <w:proofErr w:type="gramStart"/>
      <w:r>
        <w:t>meaning</w:t>
      </w:r>
      <w:proofErr w:type="gramEnd"/>
    </w:p>
    <w:p w:rsidR="00D97D9C" w:rsidRDefault="00D97D9C" w:rsidP="00D97D9C"/>
    <w:p w:rsidR="00D97D9C" w:rsidRPr="0031692C" w:rsidRDefault="00D97D9C" w:rsidP="00D97D9C">
      <w:r w:rsidRPr="0031692C">
        <w:t>Suggestive</w:t>
      </w:r>
    </w:p>
    <w:p w:rsidR="00D97D9C" w:rsidRPr="0031692C" w:rsidRDefault="00D97D9C" w:rsidP="00D97D9C">
      <w:r w:rsidRPr="0031692C">
        <w:t>Entirety</w:t>
      </w:r>
    </w:p>
    <w:p w:rsidR="00D97D9C" w:rsidRPr="0031692C" w:rsidRDefault="00D97D9C" w:rsidP="00D97D9C">
      <w:r w:rsidRPr="0031692C">
        <w:lastRenderedPageBreak/>
        <w:t xml:space="preserve">Descriptive </w:t>
      </w:r>
    </w:p>
    <w:p w:rsidR="00D97D9C" w:rsidRDefault="00D97D9C" w:rsidP="00D97D9C">
      <w:r w:rsidRPr="0031692C">
        <w:t xml:space="preserve">Two </w:t>
      </w:r>
      <w:proofErr w:type="spellStart"/>
      <w:r w:rsidRPr="0031692C">
        <w:t>e’s</w:t>
      </w:r>
      <w:proofErr w:type="spellEnd"/>
      <w:r w:rsidRPr="0031692C">
        <w:t xml:space="preserve"> facing each other</w:t>
      </w:r>
    </w:p>
    <w:p w:rsidR="00D97D9C" w:rsidRDefault="00D97D9C" w:rsidP="00D97D9C"/>
    <w:p w:rsidR="00D97D9C" w:rsidRDefault="00D97D9C" w:rsidP="00D97D9C">
      <w:r>
        <w:t xml:space="preserve">Confusion </w:t>
      </w:r>
    </w:p>
    <w:p w:rsidR="00D97D9C" w:rsidRDefault="00D97D9C" w:rsidP="00D97D9C"/>
    <w:p w:rsidR="00D97D9C" w:rsidRDefault="00D97D9C"/>
    <w:p w:rsidR="00B45030" w:rsidRDefault="00B45030"/>
    <w:p w:rsidR="00B45030" w:rsidRDefault="00B45030"/>
    <w:p w:rsidR="00B45030" w:rsidRPr="00DA7D89" w:rsidRDefault="00B45030"/>
    <w:sectPr w:rsidR="00B45030" w:rsidRPr="00DA7D89" w:rsidSect="00B66B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826EFA"/>
    <w:multiLevelType w:val="hybridMultilevel"/>
    <w:tmpl w:val="6AEA0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7694237"/>
    <w:multiLevelType w:val="hybridMultilevel"/>
    <w:tmpl w:val="A7D41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proofState w:spelling="clean" w:grammar="clean"/>
  <w:defaultTabStop w:val="720"/>
  <w:characterSpacingControl w:val="doNotCompress"/>
  <w:compat/>
  <w:rsids>
    <w:rsidRoot w:val="00DA7D89"/>
    <w:rsid w:val="00100AAA"/>
    <w:rsid w:val="001E3BBC"/>
    <w:rsid w:val="002C45D3"/>
    <w:rsid w:val="005C3BB1"/>
    <w:rsid w:val="00665A11"/>
    <w:rsid w:val="00715FC3"/>
    <w:rsid w:val="00762671"/>
    <w:rsid w:val="008368C4"/>
    <w:rsid w:val="008D067B"/>
    <w:rsid w:val="009048DB"/>
    <w:rsid w:val="00911A51"/>
    <w:rsid w:val="00A137BD"/>
    <w:rsid w:val="00A93234"/>
    <w:rsid w:val="00B45030"/>
    <w:rsid w:val="00B66BE2"/>
    <w:rsid w:val="00C72741"/>
    <w:rsid w:val="00D97D9C"/>
    <w:rsid w:val="00DA7D89"/>
    <w:rsid w:val="00DD1802"/>
    <w:rsid w:val="00DD76AF"/>
    <w:rsid w:val="00EE5B51"/>
    <w:rsid w:val="00F04A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B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67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5</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cp:revision>
  <dcterms:created xsi:type="dcterms:W3CDTF">2018-02-26T20:54:00Z</dcterms:created>
  <dcterms:modified xsi:type="dcterms:W3CDTF">2018-02-28T23:36:00Z</dcterms:modified>
</cp:coreProperties>
</file>