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066C" w:rsidRPr="003A3C18" w:rsidRDefault="00A4066C">
      <w:pPr>
        <w:rPr>
          <w:sz w:val="18"/>
          <w:szCs w:val="18"/>
        </w:rPr>
      </w:pPr>
      <w:r w:rsidRPr="003A3C18">
        <w:rPr>
          <w:sz w:val="18"/>
          <w:szCs w:val="18"/>
        </w:rPr>
        <w:t>Request to withdraw the refusal as to trademark application</w:t>
      </w:r>
      <w:r w:rsidR="00F54D84">
        <w:rPr>
          <w:sz w:val="18"/>
          <w:szCs w:val="18"/>
        </w:rPr>
        <w:t xml:space="preserve"> </w:t>
      </w:r>
      <w:r w:rsidR="00F54D84" w:rsidRPr="00F54D84">
        <w:rPr>
          <w:sz w:val="18"/>
          <w:szCs w:val="18"/>
        </w:rPr>
        <w:t>serial number 87161625</w:t>
      </w:r>
      <w:r w:rsidR="00F54D84">
        <w:rPr>
          <w:sz w:val="18"/>
          <w:szCs w:val="18"/>
        </w:rPr>
        <w:t>.</w:t>
      </w:r>
    </w:p>
    <w:p w:rsidR="00A4066C" w:rsidRPr="003A3C18" w:rsidRDefault="00A4066C">
      <w:pPr>
        <w:rPr>
          <w:sz w:val="18"/>
          <w:szCs w:val="18"/>
        </w:rPr>
      </w:pPr>
    </w:p>
    <w:p w:rsidR="00A4066C" w:rsidRPr="003A3C18" w:rsidRDefault="003A3C18">
      <w:pPr>
        <w:rPr>
          <w:sz w:val="18"/>
          <w:szCs w:val="18"/>
        </w:rPr>
      </w:pPr>
      <w:r>
        <w:rPr>
          <w:sz w:val="18"/>
          <w:szCs w:val="18"/>
        </w:rPr>
        <w:t xml:space="preserve">The Applicant </w:t>
      </w:r>
      <w:r w:rsidRPr="003A3C18">
        <w:rPr>
          <w:sz w:val="18"/>
          <w:szCs w:val="18"/>
        </w:rPr>
        <w:t>respectfully request</w:t>
      </w:r>
      <w:r>
        <w:rPr>
          <w:sz w:val="18"/>
          <w:szCs w:val="18"/>
        </w:rPr>
        <w:t>s</w:t>
      </w:r>
      <w:r w:rsidRPr="003A3C18">
        <w:rPr>
          <w:sz w:val="18"/>
          <w:szCs w:val="18"/>
        </w:rPr>
        <w:t xml:space="preserve"> a reconsideration of the USPTO’s refusal of the above-referenced trademark application.</w:t>
      </w:r>
      <w:r>
        <w:rPr>
          <w:sz w:val="18"/>
          <w:szCs w:val="18"/>
        </w:rPr>
        <w:t xml:space="preserve"> </w:t>
      </w:r>
      <w:r w:rsidR="00A4066C" w:rsidRPr="003A3C18">
        <w:rPr>
          <w:sz w:val="18"/>
          <w:szCs w:val="18"/>
        </w:rPr>
        <w:t>There is no likelihood of confusion between the Applicant’s mark and the Registran</w:t>
      </w:r>
      <w:r>
        <w:rPr>
          <w:sz w:val="18"/>
          <w:szCs w:val="18"/>
        </w:rPr>
        <w:t xml:space="preserve">t’s mark based on the following factors: </w:t>
      </w:r>
      <w:r w:rsidR="00A4066C" w:rsidRPr="003A3C18">
        <w:rPr>
          <w:sz w:val="18"/>
          <w:szCs w:val="18"/>
        </w:rPr>
        <w:t xml:space="preserve"> </w:t>
      </w:r>
      <w:r>
        <w:rPr>
          <w:sz w:val="18"/>
          <w:szCs w:val="18"/>
        </w:rPr>
        <w:t xml:space="preserve"> </w:t>
      </w:r>
    </w:p>
    <w:p w:rsidR="00BB0D65" w:rsidRPr="003A3C18" w:rsidRDefault="00EB7B94" w:rsidP="003A3C18">
      <w:pPr>
        <w:pStyle w:val="ListParagraph"/>
        <w:numPr>
          <w:ilvl w:val="0"/>
          <w:numId w:val="1"/>
        </w:numPr>
        <w:ind w:left="360"/>
        <w:rPr>
          <w:sz w:val="18"/>
          <w:szCs w:val="18"/>
        </w:rPr>
      </w:pPr>
      <w:r w:rsidRPr="003A3C18">
        <w:rPr>
          <w:sz w:val="18"/>
          <w:szCs w:val="18"/>
        </w:rPr>
        <w:t>Dissimilarities of M</w:t>
      </w:r>
      <w:r w:rsidR="00BB0D65" w:rsidRPr="003A3C18">
        <w:rPr>
          <w:sz w:val="18"/>
          <w:szCs w:val="18"/>
        </w:rPr>
        <w:t>arks</w:t>
      </w:r>
    </w:p>
    <w:p w:rsidR="00EB7B94" w:rsidRPr="003A3C18" w:rsidRDefault="00EB7B94" w:rsidP="003A3C18">
      <w:pPr>
        <w:pStyle w:val="ListParagraph"/>
        <w:numPr>
          <w:ilvl w:val="0"/>
          <w:numId w:val="1"/>
        </w:numPr>
        <w:ind w:left="360"/>
        <w:rPr>
          <w:sz w:val="18"/>
          <w:szCs w:val="18"/>
        </w:rPr>
      </w:pPr>
      <w:r w:rsidRPr="003A3C18">
        <w:rPr>
          <w:sz w:val="18"/>
          <w:szCs w:val="18"/>
        </w:rPr>
        <w:t>Dissimilarities of Products, Industries, Trade Channels, &amp; Clientele</w:t>
      </w:r>
    </w:p>
    <w:p w:rsidR="00A4066C" w:rsidRPr="003A3C18" w:rsidRDefault="00A4066C" w:rsidP="00A4066C">
      <w:pPr>
        <w:rPr>
          <w:b/>
          <w:sz w:val="18"/>
          <w:szCs w:val="18"/>
        </w:rPr>
      </w:pPr>
    </w:p>
    <w:p w:rsidR="00BB0D65" w:rsidRPr="00A33D84" w:rsidRDefault="00BB0D65" w:rsidP="00A33D84">
      <w:pPr>
        <w:rPr>
          <w:b/>
          <w:sz w:val="18"/>
          <w:szCs w:val="18"/>
        </w:rPr>
      </w:pPr>
      <w:r w:rsidRPr="00A33D84">
        <w:rPr>
          <w:b/>
          <w:sz w:val="18"/>
          <w:szCs w:val="18"/>
        </w:rPr>
        <w:t>DISSIMILARITIES OF MARKS</w:t>
      </w:r>
    </w:p>
    <w:p w:rsidR="00A4066C" w:rsidRPr="003A3C18" w:rsidRDefault="00A4066C" w:rsidP="00A4066C">
      <w:pPr>
        <w:rPr>
          <w:b/>
          <w:sz w:val="18"/>
          <w:szCs w:val="18"/>
        </w:rPr>
      </w:pPr>
      <w:r w:rsidRPr="003A3C18">
        <w:rPr>
          <w:b/>
          <w:sz w:val="18"/>
          <w:szCs w:val="18"/>
        </w:rPr>
        <w:t>Registrant’s Mark</w:t>
      </w:r>
      <w:r w:rsidR="001F4394" w:rsidRPr="003A3C18">
        <w:rPr>
          <w:b/>
          <w:sz w:val="18"/>
          <w:szCs w:val="18"/>
        </w:rPr>
        <w:t xml:space="preserve"> and Pronunciation </w:t>
      </w:r>
    </w:p>
    <w:p w:rsidR="00016592" w:rsidRPr="003A3C18" w:rsidRDefault="00A4066C" w:rsidP="00A4066C">
      <w:pPr>
        <w:rPr>
          <w:sz w:val="18"/>
          <w:szCs w:val="18"/>
        </w:rPr>
      </w:pPr>
      <w:r w:rsidRPr="003A3C18">
        <w:rPr>
          <w:sz w:val="18"/>
          <w:szCs w:val="18"/>
        </w:rPr>
        <w:t>There is no asserted pronunciation of PPL in the Registrant’s application</w:t>
      </w:r>
      <w:r w:rsidR="005A637B" w:rsidRPr="003A3C18">
        <w:rPr>
          <w:sz w:val="18"/>
          <w:szCs w:val="18"/>
        </w:rPr>
        <w:t xml:space="preserve"> </w:t>
      </w:r>
      <w:r w:rsidR="00016592" w:rsidRPr="003A3C18">
        <w:rPr>
          <w:sz w:val="18"/>
          <w:szCs w:val="18"/>
        </w:rPr>
        <w:t xml:space="preserve">so a pronunciation should not and cannot be assumed, yet the Examining Attorney assumed exactly that, even presenting evidence of an acronym to support such claim, claiming </w:t>
      </w:r>
      <w:r w:rsidR="003A3C18">
        <w:rPr>
          <w:sz w:val="18"/>
          <w:szCs w:val="18"/>
        </w:rPr>
        <w:t xml:space="preserve">the Registrant’s mark, </w:t>
      </w:r>
      <w:r w:rsidR="00016592" w:rsidRPr="003A3C18">
        <w:rPr>
          <w:sz w:val="18"/>
          <w:szCs w:val="18"/>
        </w:rPr>
        <w:t>PPL</w:t>
      </w:r>
      <w:r w:rsidR="003A3C18">
        <w:rPr>
          <w:sz w:val="18"/>
          <w:szCs w:val="18"/>
        </w:rPr>
        <w:t>,</w:t>
      </w:r>
      <w:r w:rsidR="00016592" w:rsidRPr="003A3C18">
        <w:rPr>
          <w:sz w:val="18"/>
          <w:szCs w:val="18"/>
        </w:rPr>
        <w:t xml:space="preserve"> is an abbreviation</w:t>
      </w:r>
      <w:r w:rsidR="005A637B" w:rsidRPr="003A3C18">
        <w:rPr>
          <w:sz w:val="18"/>
          <w:szCs w:val="18"/>
        </w:rPr>
        <w:t>, not an acronym,</w:t>
      </w:r>
      <w:r w:rsidR="00016592" w:rsidRPr="003A3C18">
        <w:rPr>
          <w:sz w:val="18"/>
          <w:szCs w:val="18"/>
        </w:rPr>
        <w:t xml:space="preserve"> of the word “people”. PPL can be an abbreviation of the word “people” but it is also an acronym for the following terms and names:</w:t>
      </w:r>
    </w:p>
    <w:p w:rsidR="003A3C18" w:rsidRDefault="003A3C18" w:rsidP="00016592">
      <w:pPr>
        <w:rPr>
          <w:sz w:val="18"/>
          <w:szCs w:val="18"/>
        </w:rPr>
        <w:sectPr w:rsidR="003A3C18" w:rsidSect="00B66BE2">
          <w:pgSz w:w="12240" w:h="15840"/>
          <w:pgMar w:top="1440" w:right="1440" w:bottom="1440" w:left="1440" w:header="720" w:footer="720" w:gutter="0"/>
          <w:cols w:space="720"/>
          <w:docGrid w:linePitch="360"/>
        </w:sectPr>
      </w:pPr>
    </w:p>
    <w:tbl>
      <w:tblPr>
        <w:tblW w:w="0" w:type="auto"/>
        <w:tblCellSpacing w:w="15" w:type="dxa"/>
        <w:shd w:val="clear" w:color="auto" w:fill="FFFFFF"/>
        <w:tblCellMar>
          <w:top w:w="15" w:type="dxa"/>
          <w:left w:w="15" w:type="dxa"/>
          <w:bottom w:w="15" w:type="dxa"/>
          <w:right w:w="15" w:type="dxa"/>
        </w:tblCellMar>
        <w:tblLook w:val="04A0"/>
      </w:tblPr>
      <w:tblGrid>
        <w:gridCol w:w="337"/>
        <w:gridCol w:w="4073"/>
      </w:tblGrid>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lastRenderedPageBreak/>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Pocket Programming Language (ArianeSoft)</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Parma Polyhedra Library (C++)</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Pennsylvania Power &amp; Light</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Pokémon Puzzle League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Prêt Paris Logement (French: Paris Housing Loan; France)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Polymorphic Programming Language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Provisioning Parts List</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Protectors of Public Lands (Australia)</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Persistent Programming Language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Pacific Precision Laboratories, Inc.</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Path Programmable Logic</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Passive Acoustic Propagation Loss</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Process Programming Language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Polar Plasma Laboratory</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Planetarion Player (game)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Performance Planning Lead</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Personal Premises Liability (insurance)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Plant Physiology Laboratory</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Priority Planning List</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Preliminary Project Letter (Ex-Im Bank lending procedure)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Parts Provisioning List (various organizations)</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Profit Participating Loan</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Project Programming Library</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Packet Presentation Language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Programmatic Project Leader</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Pre-Planned Launch</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Preprocessing Parameter Load</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Preferential Planning List</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Preferred Products List</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Pre-Paid Legal</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lastRenderedPageBreak/>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Physical Placement of Logic</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People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Private Pilot License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Product Placement</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Patch Panel Label</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Point-to-Point Link (Nortel)</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Programmable Protocol Language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Preferred Parts List</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Providence Public Library (Providence, Rhode Island)</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Petersburg Public Library (Petersburg, AK)</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Penfield Public Library (Penfield, NY)</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Peace Palace Library (The Hague, Netherlands)</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Pusat Pendidikan Luar (Malay: Rural Education Center)</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Prairie Public Library (various locations)</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Partially Polarized Light</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Public Policy and Legislation (various organizations)</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Plasma Physics Laboratory</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Phonographic Performance Ltd</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Pakistan Petroleum Ltd</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Parts Price List</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Pure Prairie League (band)</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Potential Problem Loans</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Pence per Liter (product rate)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Public Procurement Law (various locations)</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Petropars Limited Co.</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Paid Personal Leave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Principles of Programming Languages (computer science)</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Pay Per Lead</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Portsmouth Public Library (various locations)</w:t>
            </w:r>
          </w:p>
        </w:tc>
      </w:tr>
      <w:tr w:rsidR="00016592" w:rsidRPr="003A3C18" w:rsidTr="00016592">
        <w:trPr>
          <w:tblCellSpacing w:w="15" w:type="dxa"/>
        </w:trPr>
        <w:tc>
          <w:tcPr>
            <w:tcW w:w="0" w:type="auto"/>
            <w:shd w:val="clear" w:color="auto" w:fill="FFFFFF"/>
            <w:hideMark/>
          </w:tcPr>
          <w:p w:rsidR="00016592" w:rsidRPr="003A3C18" w:rsidRDefault="00016592" w:rsidP="00016592">
            <w:pPr>
              <w:rPr>
                <w:sz w:val="18"/>
                <w:szCs w:val="18"/>
              </w:rPr>
            </w:pPr>
            <w:r w:rsidRPr="003A3C18">
              <w:rPr>
                <w:sz w:val="18"/>
                <w:szCs w:val="18"/>
              </w:rPr>
              <w:t>PPL</w:t>
            </w:r>
          </w:p>
        </w:tc>
        <w:tc>
          <w:tcPr>
            <w:tcW w:w="0" w:type="auto"/>
            <w:shd w:val="clear" w:color="auto" w:fill="FFFFFF"/>
            <w:vAlign w:val="center"/>
            <w:hideMark/>
          </w:tcPr>
          <w:p w:rsidR="00016592" w:rsidRPr="003A3C18" w:rsidRDefault="00016592" w:rsidP="00016592">
            <w:pPr>
              <w:rPr>
                <w:sz w:val="18"/>
                <w:szCs w:val="18"/>
              </w:rPr>
            </w:pPr>
            <w:r w:rsidRPr="003A3C18">
              <w:rPr>
                <w:sz w:val="18"/>
                <w:szCs w:val="18"/>
              </w:rPr>
              <w:t>Pervasive Parallelism Laboratory (Stanford University)</w:t>
            </w:r>
          </w:p>
        </w:tc>
      </w:tr>
    </w:tbl>
    <w:p w:rsidR="00016592" w:rsidRPr="003A3C18" w:rsidRDefault="00016592" w:rsidP="00A4066C">
      <w:pPr>
        <w:rPr>
          <w:sz w:val="18"/>
          <w:szCs w:val="18"/>
        </w:rPr>
      </w:pPr>
    </w:p>
    <w:p w:rsidR="003A3C18" w:rsidRDefault="003A3C18" w:rsidP="00A4066C">
      <w:pPr>
        <w:rPr>
          <w:sz w:val="18"/>
          <w:szCs w:val="18"/>
        </w:rPr>
        <w:sectPr w:rsidR="003A3C18" w:rsidSect="003A3C18">
          <w:type w:val="continuous"/>
          <w:pgSz w:w="12240" w:h="15840"/>
          <w:pgMar w:top="1440" w:right="1440" w:bottom="1440" w:left="1440" w:header="720" w:footer="720" w:gutter="0"/>
          <w:cols w:num="2" w:space="720"/>
          <w:docGrid w:linePitch="360"/>
        </w:sectPr>
      </w:pPr>
    </w:p>
    <w:p w:rsidR="003A3C18" w:rsidRDefault="003A3C18" w:rsidP="00A4066C">
      <w:pPr>
        <w:rPr>
          <w:sz w:val="18"/>
          <w:szCs w:val="18"/>
        </w:rPr>
      </w:pPr>
    </w:p>
    <w:p w:rsidR="00016592" w:rsidRPr="003A3C18" w:rsidRDefault="00016592" w:rsidP="00A4066C">
      <w:pPr>
        <w:rPr>
          <w:sz w:val="18"/>
          <w:szCs w:val="18"/>
        </w:rPr>
      </w:pPr>
      <w:r w:rsidRPr="003A3C18">
        <w:rPr>
          <w:sz w:val="18"/>
          <w:szCs w:val="18"/>
        </w:rPr>
        <w:t xml:space="preserve">The PPL acronyms listed are not pronounced “people” but </w:t>
      </w:r>
      <w:r w:rsidR="005A637B" w:rsidRPr="003A3C18">
        <w:rPr>
          <w:sz w:val="18"/>
          <w:szCs w:val="18"/>
        </w:rPr>
        <w:t xml:space="preserve">pronounced </w:t>
      </w:r>
      <w:r w:rsidRPr="003A3C18">
        <w:rPr>
          <w:sz w:val="18"/>
          <w:szCs w:val="18"/>
        </w:rPr>
        <w:t xml:space="preserve">as separate letters “p”, “p”, “l”, </w:t>
      </w:r>
      <w:r w:rsidR="005A637B" w:rsidRPr="003A3C18">
        <w:rPr>
          <w:sz w:val="18"/>
          <w:szCs w:val="18"/>
        </w:rPr>
        <w:t>and in each case</w:t>
      </w:r>
      <w:r w:rsidR="003A3C18">
        <w:rPr>
          <w:sz w:val="18"/>
          <w:szCs w:val="18"/>
        </w:rPr>
        <w:t xml:space="preserve"> the acronym is</w:t>
      </w:r>
      <w:r w:rsidR="005A637B" w:rsidRPr="003A3C18">
        <w:rPr>
          <w:sz w:val="18"/>
          <w:szCs w:val="18"/>
        </w:rPr>
        <w:t xml:space="preserve"> distinguished</w:t>
      </w:r>
      <w:r w:rsidRPr="003A3C18">
        <w:rPr>
          <w:sz w:val="18"/>
          <w:szCs w:val="18"/>
        </w:rPr>
        <w:t xml:space="preserve"> from the others as each is used in specific context</w:t>
      </w:r>
      <w:r w:rsidR="005A637B" w:rsidRPr="003A3C18">
        <w:rPr>
          <w:sz w:val="18"/>
          <w:szCs w:val="18"/>
        </w:rPr>
        <w:t xml:space="preserve">. </w:t>
      </w:r>
    </w:p>
    <w:p w:rsidR="005A637B" w:rsidRPr="003A3C18" w:rsidRDefault="005A637B" w:rsidP="00A4066C">
      <w:pPr>
        <w:rPr>
          <w:sz w:val="18"/>
          <w:szCs w:val="18"/>
        </w:rPr>
      </w:pPr>
      <w:r w:rsidRPr="003A3C18">
        <w:rPr>
          <w:sz w:val="18"/>
          <w:szCs w:val="18"/>
        </w:rPr>
        <w:lastRenderedPageBreak/>
        <w:t>Also, PPL is not the only abbreviation for the word “people”. Other abbreviations are “peeps”, “pple”, “pp”, and “peo.”, so it cannot be assumed that the Registrant’s mark is an abbreviation of “people” and should be pronounced as such or would be pronounced as such by the public.</w:t>
      </w:r>
    </w:p>
    <w:p w:rsidR="005A637B" w:rsidRPr="003A3C18" w:rsidRDefault="005A637B" w:rsidP="00A4066C">
      <w:pPr>
        <w:rPr>
          <w:sz w:val="18"/>
          <w:szCs w:val="18"/>
        </w:rPr>
      </w:pPr>
    </w:p>
    <w:p w:rsidR="005A637B" w:rsidRPr="003A3C18" w:rsidRDefault="005A637B" w:rsidP="00A4066C">
      <w:pPr>
        <w:rPr>
          <w:sz w:val="18"/>
          <w:szCs w:val="18"/>
        </w:rPr>
      </w:pPr>
      <w:r w:rsidRPr="003A3C18">
        <w:rPr>
          <w:sz w:val="18"/>
          <w:szCs w:val="18"/>
        </w:rPr>
        <w:t>Also, the Registrant’s mark’s owner</w:t>
      </w:r>
      <w:r w:rsidR="00004F20" w:rsidRPr="003A3C18">
        <w:rPr>
          <w:sz w:val="18"/>
          <w:szCs w:val="18"/>
        </w:rPr>
        <w:t xml:space="preserve"> is Purple People Leader, LLC, standing to </w:t>
      </w:r>
      <w:r w:rsidRPr="003A3C18">
        <w:rPr>
          <w:sz w:val="18"/>
          <w:szCs w:val="18"/>
        </w:rPr>
        <w:t>reason that the Registrant’s mark is an abbreviation/acronym of the owning company’</w:t>
      </w:r>
      <w:r w:rsidR="00004F20" w:rsidRPr="003A3C18">
        <w:rPr>
          <w:sz w:val="18"/>
          <w:szCs w:val="18"/>
        </w:rPr>
        <w:t xml:space="preserve">s name, and not an abbreviation of “people”. </w:t>
      </w:r>
    </w:p>
    <w:p w:rsidR="00016592" w:rsidRPr="003A3C18" w:rsidRDefault="00016592" w:rsidP="00A4066C">
      <w:pPr>
        <w:rPr>
          <w:sz w:val="18"/>
          <w:szCs w:val="18"/>
        </w:rPr>
      </w:pPr>
    </w:p>
    <w:p w:rsidR="005A637B" w:rsidRPr="003A3C18" w:rsidRDefault="00EE3386" w:rsidP="00A4066C">
      <w:pPr>
        <w:rPr>
          <w:sz w:val="18"/>
          <w:szCs w:val="18"/>
        </w:rPr>
      </w:pPr>
      <w:r w:rsidRPr="003A3C18">
        <w:rPr>
          <w:sz w:val="18"/>
          <w:szCs w:val="18"/>
        </w:rPr>
        <w:t xml:space="preserve">There is doubt and ambiguity as to how to pronounce </w:t>
      </w:r>
      <w:r w:rsidR="00004F20" w:rsidRPr="003A3C18">
        <w:rPr>
          <w:sz w:val="18"/>
          <w:szCs w:val="18"/>
        </w:rPr>
        <w:t>the Registrant’s mark</w:t>
      </w:r>
      <w:r w:rsidRPr="003A3C18">
        <w:rPr>
          <w:sz w:val="18"/>
          <w:szCs w:val="18"/>
        </w:rPr>
        <w:t>. There is no doubt or ambiguity as to how to pronounce the Applicant’s mark.</w:t>
      </w:r>
    </w:p>
    <w:p w:rsidR="00004F20" w:rsidRPr="003A3C18" w:rsidRDefault="00004F20" w:rsidP="00A4066C">
      <w:pPr>
        <w:rPr>
          <w:sz w:val="18"/>
          <w:szCs w:val="18"/>
        </w:rPr>
      </w:pPr>
    </w:p>
    <w:p w:rsidR="00004F20" w:rsidRPr="003A3C18" w:rsidRDefault="00004F20" w:rsidP="00A4066C">
      <w:pPr>
        <w:rPr>
          <w:b/>
          <w:sz w:val="18"/>
          <w:szCs w:val="18"/>
        </w:rPr>
      </w:pPr>
      <w:r w:rsidRPr="003A3C18">
        <w:rPr>
          <w:b/>
          <w:sz w:val="18"/>
          <w:szCs w:val="18"/>
        </w:rPr>
        <w:t xml:space="preserve">Correct Pronunciation of the </w:t>
      </w:r>
      <w:r w:rsidR="008A3895" w:rsidRPr="003A3C18">
        <w:rPr>
          <w:b/>
          <w:sz w:val="18"/>
          <w:szCs w:val="18"/>
        </w:rPr>
        <w:t xml:space="preserve">Applicant’s </w:t>
      </w:r>
      <w:r w:rsidRPr="003A3C18">
        <w:rPr>
          <w:b/>
          <w:sz w:val="18"/>
          <w:szCs w:val="18"/>
        </w:rPr>
        <w:t>Mark</w:t>
      </w:r>
    </w:p>
    <w:p w:rsidR="008A3895" w:rsidRPr="003A3C18" w:rsidRDefault="00004F20" w:rsidP="00A4066C">
      <w:pPr>
        <w:rPr>
          <w:sz w:val="18"/>
          <w:szCs w:val="18"/>
        </w:rPr>
      </w:pPr>
      <w:r w:rsidRPr="003A3C18">
        <w:rPr>
          <w:sz w:val="18"/>
          <w:szCs w:val="18"/>
        </w:rPr>
        <w:t>Despite the Examining Attorney’s assertion, and unlike the Regist</w:t>
      </w:r>
      <w:r w:rsidR="00634628">
        <w:rPr>
          <w:sz w:val="18"/>
          <w:szCs w:val="18"/>
        </w:rPr>
        <w:t>rant’s mark, there is a clear,</w:t>
      </w:r>
      <w:r w:rsidRPr="003A3C18">
        <w:rPr>
          <w:sz w:val="18"/>
          <w:szCs w:val="18"/>
        </w:rPr>
        <w:t xml:space="preserve"> correct pronunciation </w:t>
      </w:r>
      <w:r w:rsidR="008A3895" w:rsidRPr="003A3C18">
        <w:rPr>
          <w:sz w:val="18"/>
          <w:szCs w:val="18"/>
        </w:rPr>
        <w:t xml:space="preserve">of </w:t>
      </w:r>
      <w:r w:rsidRPr="003A3C18">
        <w:rPr>
          <w:sz w:val="18"/>
          <w:szCs w:val="18"/>
        </w:rPr>
        <w:t xml:space="preserve">the Applicant’s mark as it is established in the </w:t>
      </w:r>
      <w:r w:rsidR="008A3895" w:rsidRPr="003A3C18">
        <w:rPr>
          <w:sz w:val="18"/>
          <w:szCs w:val="18"/>
        </w:rPr>
        <w:t xml:space="preserve">Applicant’s </w:t>
      </w:r>
      <w:r w:rsidRPr="003A3C18">
        <w:rPr>
          <w:sz w:val="18"/>
          <w:szCs w:val="18"/>
        </w:rPr>
        <w:t xml:space="preserve">application </w:t>
      </w:r>
      <w:r w:rsidR="00634628">
        <w:rPr>
          <w:sz w:val="18"/>
          <w:szCs w:val="18"/>
        </w:rPr>
        <w:t>that the Applicant’s mark is pronounced</w:t>
      </w:r>
      <w:r w:rsidRPr="003A3C18">
        <w:rPr>
          <w:sz w:val="18"/>
          <w:szCs w:val="18"/>
        </w:rPr>
        <w:t xml:space="preserve"> like the word “people”</w:t>
      </w:r>
      <w:r w:rsidR="00634628">
        <w:rPr>
          <w:sz w:val="18"/>
          <w:szCs w:val="18"/>
        </w:rPr>
        <w:t>. T</w:t>
      </w:r>
      <w:r w:rsidR="008A3895" w:rsidRPr="003A3C18">
        <w:rPr>
          <w:sz w:val="18"/>
          <w:szCs w:val="18"/>
        </w:rPr>
        <w:t xml:space="preserve">he Applicant’s mark is easily understood and read as </w:t>
      </w:r>
      <w:r w:rsidR="00634628">
        <w:rPr>
          <w:sz w:val="18"/>
          <w:szCs w:val="18"/>
        </w:rPr>
        <w:t>sounding like the word “people” and can be clearly distinguished from the Registrant’s mark by the public.</w:t>
      </w:r>
      <w:r w:rsidR="008A3895" w:rsidRPr="003A3C18">
        <w:rPr>
          <w:sz w:val="18"/>
          <w:szCs w:val="18"/>
        </w:rPr>
        <w:t xml:space="preserve"> </w:t>
      </w:r>
      <w:r w:rsidRPr="003A3C18">
        <w:rPr>
          <w:sz w:val="18"/>
          <w:szCs w:val="18"/>
        </w:rPr>
        <w:t xml:space="preserve"> </w:t>
      </w:r>
    </w:p>
    <w:p w:rsidR="008A3895" w:rsidRPr="003A3C18" w:rsidRDefault="008A3895" w:rsidP="00A4066C">
      <w:pPr>
        <w:rPr>
          <w:b/>
          <w:sz w:val="18"/>
          <w:szCs w:val="18"/>
        </w:rPr>
      </w:pPr>
    </w:p>
    <w:p w:rsidR="008A3895" w:rsidRPr="003A3C18" w:rsidRDefault="008A3895" w:rsidP="00A4066C">
      <w:pPr>
        <w:rPr>
          <w:b/>
          <w:sz w:val="18"/>
          <w:szCs w:val="18"/>
        </w:rPr>
      </w:pPr>
      <w:r w:rsidRPr="003A3C18">
        <w:rPr>
          <w:b/>
          <w:sz w:val="18"/>
          <w:szCs w:val="18"/>
        </w:rPr>
        <w:t>Prediction</w:t>
      </w:r>
      <w:r w:rsidR="00754ACF" w:rsidRPr="003A3C18">
        <w:rPr>
          <w:b/>
          <w:sz w:val="18"/>
          <w:szCs w:val="18"/>
        </w:rPr>
        <w:t>/Speculation</w:t>
      </w:r>
      <w:r w:rsidRPr="003A3C18">
        <w:rPr>
          <w:b/>
          <w:sz w:val="18"/>
          <w:szCs w:val="18"/>
        </w:rPr>
        <w:t xml:space="preserve"> of Public Response</w:t>
      </w:r>
    </w:p>
    <w:p w:rsidR="00D832A5" w:rsidRPr="003A3C18" w:rsidRDefault="00004F20" w:rsidP="00A4066C">
      <w:pPr>
        <w:rPr>
          <w:sz w:val="18"/>
          <w:szCs w:val="18"/>
        </w:rPr>
      </w:pPr>
      <w:r w:rsidRPr="003A3C18">
        <w:rPr>
          <w:sz w:val="18"/>
          <w:szCs w:val="18"/>
        </w:rPr>
        <w:t>The Examining Attorney</w:t>
      </w:r>
      <w:r w:rsidR="008A3895" w:rsidRPr="003A3C18">
        <w:rPr>
          <w:sz w:val="18"/>
          <w:szCs w:val="18"/>
        </w:rPr>
        <w:t xml:space="preserve"> asserted that it is “impossible to predict how the public will pronounce a particular mark.” That assertion may be true if a </w:t>
      </w:r>
      <w:r w:rsidR="00EE3386" w:rsidRPr="003A3C18">
        <w:rPr>
          <w:sz w:val="18"/>
          <w:szCs w:val="18"/>
        </w:rPr>
        <w:t>mark has multiple pronu</w:t>
      </w:r>
      <w:r w:rsidR="004F2FA6" w:rsidRPr="003A3C18">
        <w:rPr>
          <w:sz w:val="18"/>
          <w:szCs w:val="18"/>
        </w:rPr>
        <w:t>n</w:t>
      </w:r>
      <w:r w:rsidR="00EE3386" w:rsidRPr="003A3C18">
        <w:rPr>
          <w:sz w:val="18"/>
          <w:szCs w:val="18"/>
        </w:rPr>
        <w:t>ciations</w:t>
      </w:r>
      <w:r w:rsidR="008A3895" w:rsidRPr="003A3C18">
        <w:rPr>
          <w:sz w:val="18"/>
          <w:szCs w:val="18"/>
        </w:rPr>
        <w:t xml:space="preserve"> like the Registrant’s mark, but the Applicant’s mark demonstrates a definitive clarity of pronunciation as dictated by it</w:t>
      </w:r>
      <w:r w:rsidR="00EE3386" w:rsidRPr="003A3C18">
        <w:rPr>
          <w:sz w:val="18"/>
          <w:szCs w:val="18"/>
        </w:rPr>
        <w:t xml:space="preserve">s </w:t>
      </w:r>
      <w:r w:rsidR="00634628">
        <w:rPr>
          <w:sz w:val="18"/>
          <w:szCs w:val="18"/>
        </w:rPr>
        <w:t xml:space="preserve">specific, novel spelling enabling </w:t>
      </w:r>
      <w:r w:rsidR="008A3895" w:rsidRPr="003A3C18">
        <w:rPr>
          <w:sz w:val="18"/>
          <w:szCs w:val="18"/>
        </w:rPr>
        <w:t xml:space="preserve">the public </w:t>
      </w:r>
      <w:r w:rsidR="00634628">
        <w:rPr>
          <w:sz w:val="18"/>
          <w:szCs w:val="18"/>
        </w:rPr>
        <w:t xml:space="preserve">to understand and pronounce the Applicant’s mark with certainty. </w:t>
      </w:r>
      <w:r w:rsidR="00EE3386" w:rsidRPr="003A3C18">
        <w:rPr>
          <w:sz w:val="18"/>
          <w:szCs w:val="18"/>
        </w:rPr>
        <w:t>If the public understands English, then it is possible</w:t>
      </w:r>
      <w:r w:rsidR="00634628">
        <w:rPr>
          <w:sz w:val="18"/>
          <w:szCs w:val="18"/>
        </w:rPr>
        <w:t xml:space="preserve"> and highly likely, even certain to predict that </w:t>
      </w:r>
      <w:r w:rsidR="00EE3386" w:rsidRPr="003A3C18">
        <w:rPr>
          <w:sz w:val="18"/>
          <w:szCs w:val="18"/>
        </w:rPr>
        <w:t xml:space="preserve">the public will </w:t>
      </w:r>
      <w:r w:rsidR="00754ACF" w:rsidRPr="003A3C18">
        <w:rPr>
          <w:sz w:val="18"/>
          <w:szCs w:val="18"/>
        </w:rPr>
        <w:t>be ab</w:t>
      </w:r>
      <w:r w:rsidR="00634628">
        <w:rPr>
          <w:sz w:val="18"/>
          <w:szCs w:val="18"/>
        </w:rPr>
        <w:t xml:space="preserve">le to discern the pronunciation </w:t>
      </w:r>
      <w:r w:rsidR="00754ACF" w:rsidRPr="003A3C18">
        <w:rPr>
          <w:sz w:val="18"/>
          <w:szCs w:val="18"/>
        </w:rPr>
        <w:t xml:space="preserve">of </w:t>
      </w:r>
      <w:r w:rsidR="00EE3386" w:rsidRPr="003A3C18">
        <w:rPr>
          <w:sz w:val="18"/>
          <w:szCs w:val="18"/>
        </w:rPr>
        <w:t>the Applicant’</w:t>
      </w:r>
      <w:r w:rsidR="00754ACF" w:rsidRPr="003A3C18">
        <w:rPr>
          <w:sz w:val="18"/>
          <w:szCs w:val="18"/>
        </w:rPr>
        <w:t>s mark and distinguish the source of its goods from other firms</w:t>
      </w:r>
      <w:r w:rsidR="0023113F" w:rsidRPr="003A3C18">
        <w:rPr>
          <w:sz w:val="18"/>
          <w:szCs w:val="18"/>
        </w:rPr>
        <w:t>, specifical</w:t>
      </w:r>
      <w:r w:rsidR="00634628">
        <w:rPr>
          <w:sz w:val="18"/>
          <w:szCs w:val="18"/>
        </w:rPr>
        <w:t>ly the Registrant’s company/organization</w:t>
      </w:r>
      <w:r w:rsidR="00754ACF" w:rsidRPr="003A3C18">
        <w:rPr>
          <w:sz w:val="18"/>
          <w:szCs w:val="18"/>
        </w:rPr>
        <w:t xml:space="preserve">. </w:t>
      </w:r>
    </w:p>
    <w:p w:rsidR="00D832A5" w:rsidRPr="003A3C18" w:rsidRDefault="00D832A5" w:rsidP="00A4066C">
      <w:pPr>
        <w:rPr>
          <w:sz w:val="18"/>
          <w:szCs w:val="18"/>
        </w:rPr>
      </w:pPr>
    </w:p>
    <w:p w:rsidR="00D832A5" w:rsidRPr="003A3C18" w:rsidRDefault="00634628" w:rsidP="00A4066C">
      <w:pPr>
        <w:rPr>
          <w:sz w:val="18"/>
          <w:szCs w:val="18"/>
        </w:rPr>
      </w:pPr>
      <w:r>
        <w:rPr>
          <w:sz w:val="18"/>
          <w:szCs w:val="18"/>
        </w:rPr>
        <w:t xml:space="preserve">Even if, hypothetically, </w:t>
      </w:r>
      <w:r w:rsidR="00D832A5" w:rsidRPr="003A3C18">
        <w:rPr>
          <w:sz w:val="18"/>
          <w:szCs w:val="18"/>
        </w:rPr>
        <w:t>the Applicant and Registrant’s marks are similar in pronunciation that still does not support the likelihood of confusion argument stated by the Examining Attorney</w:t>
      </w:r>
      <w:r>
        <w:rPr>
          <w:sz w:val="18"/>
          <w:szCs w:val="18"/>
        </w:rPr>
        <w:t xml:space="preserve">. This is </w:t>
      </w:r>
      <w:r w:rsidR="00D832A5" w:rsidRPr="003A3C18">
        <w:rPr>
          <w:sz w:val="18"/>
          <w:szCs w:val="18"/>
        </w:rPr>
        <w:t>evidenced by the fact that t</w:t>
      </w:r>
      <w:r w:rsidR="00754ACF" w:rsidRPr="003A3C18">
        <w:rPr>
          <w:sz w:val="18"/>
          <w:szCs w:val="18"/>
        </w:rPr>
        <w:t xml:space="preserve">he public </w:t>
      </w:r>
      <w:r w:rsidR="00D832A5" w:rsidRPr="003A3C18">
        <w:rPr>
          <w:sz w:val="18"/>
          <w:szCs w:val="18"/>
        </w:rPr>
        <w:t>is able to discern</w:t>
      </w:r>
      <w:r w:rsidR="00754ACF" w:rsidRPr="003A3C18">
        <w:rPr>
          <w:sz w:val="18"/>
          <w:szCs w:val="18"/>
        </w:rPr>
        <w:t xml:space="preserve"> a faucet from an airline in relation to the trade name Delta,</w:t>
      </w:r>
      <w:r w:rsidR="00D832A5" w:rsidRPr="003A3C18">
        <w:rPr>
          <w:sz w:val="18"/>
          <w:szCs w:val="18"/>
        </w:rPr>
        <w:t xml:space="preserve"> </w:t>
      </w:r>
      <w:r>
        <w:rPr>
          <w:sz w:val="18"/>
          <w:szCs w:val="18"/>
        </w:rPr>
        <w:t>identifying and distinguishing the source of goods for each. Also, the public/consumers demonstrate on a daily basis t</w:t>
      </w:r>
      <w:r w:rsidR="00D832A5" w:rsidRPr="003A3C18">
        <w:rPr>
          <w:sz w:val="18"/>
          <w:szCs w:val="18"/>
        </w:rPr>
        <w:t xml:space="preserve">he ability to discern meanings of </w:t>
      </w:r>
      <w:r>
        <w:rPr>
          <w:sz w:val="18"/>
          <w:szCs w:val="18"/>
        </w:rPr>
        <w:t xml:space="preserve">words that sound phonetically the same yet have different meanings; some of these words/terms include: </w:t>
      </w:r>
    </w:p>
    <w:tbl>
      <w:tblPr>
        <w:tblW w:w="9000" w:type="dxa"/>
        <w:tblCellSpacing w:w="15" w:type="dxa"/>
        <w:tblInd w:w="135" w:type="dxa"/>
        <w:tblCellMar>
          <w:top w:w="15" w:type="dxa"/>
          <w:left w:w="15" w:type="dxa"/>
          <w:bottom w:w="15" w:type="dxa"/>
          <w:right w:w="15" w:type="dxa"/>
        </w:tblCellMar>
        <w:tblLook w:val="04A0"/>
      </w:tblPr>
      <w:tblGrid>
        <w:gridCol w:w="1890"/>
        <w:gridCol w:w="1800"/>
        <w:gridCol w:w="1890"/>
        <w:gridCol w:w="3420"/>
      </w:tblGrid>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Ad Add</w:t>
            </w:r>
          </w:p>
        </w:tc>
        <w:tc>
          <w:tcPr>
            <w:tcW w:w="1770" w:type="dxa"/>
            <w:vAlign w:val="center"/>
            <w:hideMark/>
          </w:tcPr>
          <w:p w:rsidR="00BB693B" w:rsidRPr="003A3C18" w:rsidRDefault="00BB693B" w:rsidP="00BB693B">
            <w:pPr>
              <w:rPr>
                <w:sz w:val="18"/>
                <w:szCs w:val="18"/>
              </w:rPr>
            </w:pPr>
            <w:r w:rsidRPr="003A3C18">
              <w:rPr>
                <w:sz w:val="18"/>
                <w:szCs w:val="18"/>
              </w:rPr>
              <w:t>Aerie Airy</w:t>
            </w:r>
          </w:p>
        </w:tc>
        <w:tc>
          <w:tcPr>
            <w:tcW w:w="1860" w:type="dxa"/>
            <w:vAlign w:val="center"/>
            <w:hideMark/>
          </w:tcPr>
          <w:p w:rsidR="00BB693B" w:rsidRPr="003A3C18" w:rsidRDefault="00BB693B" w:rsidP="00BB693B">
            <w:pPr>
              <w:rPr>
                <w:sz w:val="18"/>
                <w:szCs w:val="18"/>
              </w:rPr>
            </w:pPr>
            <w:r w:rsidRPr="003A3C18">
              <w:rPr>
                <w:sz w:val="18"/>
                <w:szCs w:val="18"/>
              </w:rPr>
              <w:t>Ail Ale</w:t>
            </w:r>
          </w:p>
        </w:tc>
        <w:tc>
          <w:tcPr>
            <w:tcW w:w="3375" w:type="dxa"/>
            <w:vAlign w:val="center"/>
            <w:hideMark/>
          </w:tcPr>
          <w:p w:rsidR="00BB693B" w:rsidRPr="003A3C18" w:rsidRDefault="00BB693B" w:rsidP="00BB693B">
            <w:pPr>
              <w:ind w:right="405"/>
              <w:rPr>
                <w:sz w:val="18"/>
                <w:szCs w:val="18"/>
              </w:rPr>
            </w:pPr>
            <w:r w:rsidRPr="003A3C18">
              <w:rPr>
                <w:sz w:val="18"/>
                <w:szCs w:val="18"/>
              </w:rPr>
              <w:t>Air Heir</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Aisle Isle</w:t>
            </w:r>
          </w:p>
        </w:tc>
        <w:tc>
          <w:tcPr>
            <w:tcW w:w="1770" w:type="dxa"/>
            <w:vAlign w:val="center"/>
            <w:hideMark/>
          </w:tcPr>
          <w:p w:rsidR="00BB693B" w:rsidRPr="003A3C18" w:rsidRDefault="00BB693B" w:rsidP="00BB693B">
            <w:pPr>
              <w:rPr>
                <w:sz w:val="18"/>
                <w:szCs w:val="18"/>
              </w:rPr>
            </w:pPr>
            <w:r w:rsidRPr="003A3C18">
              <w:rPr>
                <w:sz w:val="18"/>
                <w:szCs w:val="18"/>
              </w:rPr>
              <w:t>All Awl</w:t>
            </w:r>
          </w:p>
        </w:tc>
        <w:tc>
          <w:tcPr>
            <w:tcW w:w="1860" w:type="dxa"/>
            <w:vAlign w:val="center"/>
            <w:hideMark/>
          </w:tcPr>
          <w:p w:rsidR="00BB693B" w:rsidRPr="003A3C18" w:rsidRDefault="00BB693B" w:rsidP="00BB693B">
            <w:pPr>
              <w:rPr>
                <w:sz w:val="18"/>
                <w:szCs w:val="18"/>
              </w:rPr>
            </w:pPr>
            <w:r w:rsidRPr="003A3C18">
              <w:rPr>
                <w:sz w:val="18"/>
                <w:szCs w:val="18"/>
              </w:rPr>
              <w:t>Allowed Aloud</w:t>
            </w:r>
          </w:p>
        </w:tc>
        <w:tc>
          <w:tcPr>
            <w:tcW w:w="3375" w:type="dxa"/>
            <w:vAlign w:val="center"/>
            <w:hideMark/>
          </w:tcPr>
          <w:p w:rsidR="00BB693B" w:rsidRPr="003A3C18" w:rsidRDefault="00BB693B" w:rsidP="00BB693B">
            <w:pPr>
              <w:ind w:right="405"/>
              <w:rPr>
                <w:sz w:val="18"/>
                <w:szCs w:val="18"/>
              </w:rPr>
            </w:pPr>
            <w:r w:rsidRPr="003A3C18">
              <w:rPr>
                <w:sz w:val="18"/>
                <w:szCs w:val="18"/>
              </w:rPr>
              <w:t>Altar Alter</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Arc Ark</w:t>
            </w:r>
          </w:p>
        </w:tc>
        <w:tc>
          <w:tcPr>
            <w:tcW w:w="1770" w:type="dxa"/>
            <w:vAlign w:val="center"/>
            <w:hideMark/>
          </w:tcPr>
          <w:p w:rsidR="00BB693B" w:rsidRPr="003A3C18" w:rsidRDefault="00BB693B" w:rsidP="00BB693B">
            <w:pPr>
              <w:rPr>
                <w:sz w:val="18"/>
                <w:szCs w:val="18"/>
              </w:rPr>
            </w:pPr>
            <w:r w:rsidRPr="003A3C18">
              <w:rPr>
                <w:sz w:val="18"/>
                <w:szCs w:val="18"/>
              </w:rPr>
              <w:t>Ascent Assent</w:t>
            </w:r>
          </w:p>
        </w:tc>
        <w:tc>
          <w:tcPr>
            <w:tcW w:w="1860" w:type="dxa"/>
            <w:vAlign w:val="center"/>
            <w:hideMark/>
          </w:tcPr>
          <w:p w:rsidR="00BB693B" w:rsidRPr="003A3C18" w:rsidRDefault="00BB693B" w:rsidP="00BB693B">
            <w:pPr>
              <w:rPr>
                <w:sz w:val="18"/>
                <w:szCs w:val="18"/>
              </w:rPr>
            </w:pPr>
            <w:r w:rsidRPr="003A3C18">
              <w:rPr>
                <w:sz w:val="18"/>
                <w:szCs w:val="18"/>
              </w:rPr>
              <w:t>Ate Eight</w:t>
            </w:r>
          </w:p>
        </w:tc>
        <w:tc>
          <w:tcPr>
            <w:tcW w:w="3375" w:type="dxa"/>
            <w:vAlign w:val="center"/>
            <w:hideMark/>
          </w:tcPr>
          <w:p w:rsidR="00BB693B" w:rsidRPr="003A3C18" w:rsidRDefault="00BB693B" w:rsidP="00BB693B">
            <w:pPr>
              <w:ind w:right="405"/>
              <w:rPr>
                <w:sz w:val="18"/>
                <w:szCs w:val="18"/>
              </w:rPr>
            </w:pPr>
            <w:r w:rsidRPr="003A3C18">
              <w:rPr>
                <w:sz w:val="18"/>
                <w:szCs w:val="18"/>
              </w:rPr>
              <w:t>Attendance Attendants</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Aural Oral</w:t>
            </w:r>
          </w:p>
        </w:tc>
        <w:tc>
          <w:tcPr>
            <w:tcW w:w="1770" w:type="dxa"/>
            <w:vAlign w:val="center"/>
            <w:hideMark/>
          </w:tcPr>
          <w:p w:rsidR="00BB693B" w:rsidRPr="003A3C18" w:rsidRDefault="00BB693B" w:rsidP="00BB693B">
            <w:pPr>
              <w:rPr>
                <w:sz w:val="18"/>
                <w:szCs w:val="18"/>
              </w:rPr>
            </w:pPr>
            <w:r w:rsidRPr="003A3C18">
              <w:rPr>
                <w:sz w:val="18"/>
                <w:szCs w:val="18"/>
              </w:rPr>
              <w:t>Axes Axis</w:t>
            </w:r>
          </w:p>
        </w:tc>
        <w:tc>
          <w:tcPr>
            <w:tcW w:w="1860" w:type="dxa"/>
            <w:vAlign w:val="center"/>
            <w:hideMark/>
          </w:tcPr>
          <w:p w:rsidR="00BB693B" w:rsidRPr="003A3C18" w:rsidRDefault="00BB693B" w:rsidP="00BB693B">
            <w:pPr>
              <w:rPr>
                <w:sz w:val="18"/>
                <w:szCs w:val="18"/>
              </w:rPr>
            </w:pPr>
            <w:r w:rsidRPr="003A3C18">
              <w:rPr>
                <w:sz w:val="18"/>
                <w:szCs w:val="18"/>
              </w:rPr>
              <w:t>Aye Eye</w:t>
            </w:r>
          </w:p>
        </w:tc>
        <w:tc>
          <w:tcPr>
            <w:tcW w:w="3375" w:type="dxa"/>
            <w:vAlign w:val="center"/>
            <w:hideMark/>
          </w:tcPr>
          <w:p w:rsidR="00BB693B" w:rsidRPr="003A3C18" w:rsidRDefault="00BB693B" w:rsidP="00BB693B">
            <w:pPr>
              <w:ind w:right="405"/>
              <w:rPr>
                <w:sz w:val="18"/>
                <w:szCs w:val="18"/>
              </w:rPr>
            </w:pPr>
            <w:r w:rsidRPr="003A3C18">
              <w:rPr>
                <w:sz w:val="18"/>
                <w:szCs w:val="18"/>
              </w:rPr>
              <w:t>Bail Bale</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Baited Bated</w:t>
            </w:r>
          </w:p>
        </w:tc>
        <w:tc>
          <w:tcPr>
            <w:tcW w:w="1770" w:type="dxa"/>
            <w:vAlign w:val="center"/>
            <w:hideMark/>
          </w:tcPr>
          <w:p w:rsidR="00BB693B" w:rsidRPr="003A3C18" w:rsidRDefault="00BB693B" w:rsidP="00BB693B">
            <w:pPr>
              <w:rPr>
                <w:sz w:val="18"/>
                <w:szCs w:val="18"/>
              </w:rPr>
            </w:pPr>
            <w:r w:rsidRPr="003A3C18">
              <w:rPr>
                <w:sz w:val="18"/>
                <w:szCs w:val="18"/>
              </w:rPr>
              <w:t>Bald Bawled</w:t>
            </w:r>
          </w:p>
        </w:tc>
        <w:tc>
          <w:tcPr>
            <w:tcW w:w="1860" w:type="dxa"/>
            <w:vAlign w:val="center"/>
            <w:hideMark/>
          </w:tcPr>
          <w:p w:rsidR="00BB693B" w:rsidRPr="003A3C18" w:rsidRDefault="00BB693B" w:rsidP="00BB693B">
            <w:pPr>
              <w:rPr>
                <w:sz w:val="18"/>
                <w:szCs w:val="18"/>
              </w:rPr>
            </w:pPr>
            <w:r w:rsidRPr="003A3C18">
              <w:rPr>
                <w:sz w:val="18"/>
                <w:szCs w:val="18"/>
              </w:rPr>
              <w:t>Ball Bawl</w:t>
            </w:r>
          </w:p>
        </w:tc>
        <w:tc>
          <w:tcPr>
            <w:tcW w:w="3375" w:type="dxa"/>
            <w:vAlign w:val="center"/>
            <w:hideMark/>
          </w:tcPr>
          <w:p w:rsidR="00BB693B" w:rsidRPr="003A3C18" w:rsidRDefault="00BB693B" w:rsidP="00BB693B">
            <w:pPr>
              <w:ind w:right="405"/>
              <w:rPr>
                <w:sz w:val="18"/>
                <w:szCs w:val="18"/>
              </w:rPr>
            </w:pPr>
            <w:r w:rsidRPr="003A3C18">
              <w:rPr>
                <w:sz w:val="18"/>
                <w:szCs w:val="18"/>
              </w:rPr>
              <w:t>Band Banned</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Bard Barred</w:t>
            </w:r>
          </w:p>
        </w:tc>
        <w:tc>
          <w:tcPr>
            <w:tcW w:w="1770" w:type="dxa"/>
            <w:vAlign w:val="center"/>
            <w:hideMark/>
          </w:tcPr>
          <w:p w:rsidR="00BB693B" w:rsidRPr="003A3C18" w:rsidRDefault="00BB693B" w:rsidP="00BB693B">
            <w:pPr>
              <w:rPr>
                <w:sz w:val="18"/>
                <w:szCs w:val="18"/>
              </w:rPr>
            </w:pPr>
            <w:r w:rsidRPr="003A3C18">
              <w:rPr>
                <w:sz w:val="18"/>
                <w:szCs w:val="18"/>
              </w:rPr>
              <w:t>Bare Bear</w:t>
            </w:r>
          </w:p>
        </w:tc>
        <w:tc>
          <w:tcPr>
            <w:tcW w:w="1860" w:type="dxa"/>
            <w:vAlign w:val="center"/>
            <w:hideMark/>
          </w:tcPr>
          <w:p w:rsidR="00BB693B" w:rsidRPr="003A3C18" w:rsidRDefault="00BB693B" w:rsidP="00BB693B">
            <w:pPr>
              <w:rPr>
                <w:sz w:val="18"/>
                <w:szCs w:val="18"/>
              </w:rPr>
            </w:pPr>
            <w:r w:rsidRPr="003A3C18">
              <w:rPr>
                <w:sz w:val="18"/>
                <w:szCs w:val="18"/>
              </w:rPr>
              <w:t>Baron Barren</w:t>
            </w:r>
          </w:p>
        </w:tc>
        <w:tc>
          <w:tcPr>
            <w:tcW w:w="3375" w:type="dxa"/>
            <w:vAlign w:val="center"/>
            <w:hideMark/>
          </w:tcPr>
          <w:p w:rsidR="00BB693B" w:rsidRPr="003A3C18" w:rsidRDefault="00BB693B" w:rsidP="00BB693B">
            <w:pPr>
              <w:ind w:right="405"/>
              <w:rPr>
                <w:sz w:val="18"/>
                <w:szCs w:val="18"/>
              </w:rPr>
            </w:pPr>
            <w:r w:rsidRPr="003A3C18">
              <w:rPr>
                <w:sz w:val="18"/>
                <w:szCs w:val="18"/>
              </w:rPr>
              <w:t>Base Bass</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Based Baste</w:t>
            </w:r>
          </w:p>
        </w:tc>
        <w:tc>
          <w:tcPr>
            <w:tcW w:w="1770" w:type="dxa"/>
            <w:vAlign w:val="center"/>
            <w:hideMark/>
          </w:tcPr>
          <w:p w:rsidR="00BB693B" w:rsidRPr="003A3C18" w:rsidRDefault="00BB693B" w:rsidP="00BB693B">
            <w:pPr>
              <w:rPr>
                <w:sz w:val="18"/>
                <w:szCs w:val="18"/>
              </w:rPr>
            </w:pPr>
            <w:r w:rsidRPr="003A3C18">
              <w:rPr>
                <w:sz w:val="18"/>
                <w:szCs w:val="18"/>
              </w:rPr>
              <w:t>Be Bee</w:t>
            </w:r>
          </w:p>
        </w:tc>
        <w:tc>
          <w:tcPr>
            <w:tcW w:w="1860" w:type="dxa"/>
            <w:vAlign w:val="center"/>
            <w:hideMark/>
          </w:tcPr>
          <w:p w:rsidR="00BB693B" w:rsidRPr="003A3C18" w:rsidRDefault="00BB693B" w:rsidP="00BB693B">
            <w:pPr>
              <w:rPr>
                <w:sz w:val="18"/>
                <w:szCs w:val="18"/>
              </w:rPr>
            </w:pPr>
            <w:r w:rsidRPr="003A3C18">
              <w:rPr>
                <w:sz w:val="18"/>
                <w:szCs w:val="18"/>
              </w:rPr>
              <w:t>Beach Beech</w:t>
            </w:r>
          </w:p>
        </w:tc>
        <w:tc>
          <w:tcPr>
            <w:tcW w:w="3375" w:type="dxa"/>
            <w:vAlign w:val="center"/>
            <w:hideMark/>
          </w:tcPr>
          <w:p w:rsidR="00BB693B" w:rsidRPr="003A3C18" w:rsidRDefault="00BB693B" w:rsidP="00BB693B">
            <w:pPr>
              <w:ind w:right="405"/>
              <w:rPr>
                <w:sz w:val="18"/>
                <w:szCs w:val="18"/>
              </w:rPr>
            </w:pPr>
            <w:r w:rsidRPr="003A3C18">
              <w:rPr>
                <w:sz w:val="18"/>
                <w:szCs w:val="18"/>
              </w:rPr>
              <w:t>Beat Beet</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Beau Bow</w:t>
            </w:r>
          </w:p>
        </w:tc>
        <w:tc>
          <w:tcPr>
            <w:tcW w:w="1770" w:type="dxa"/>
            <w:vAlign w:val="center"/>
            <w:hideMark/>
          </w:tcPr>
          <w:p w:rsidR="00BB693B" w:rsidRPr="003A3C18" w:rsidRDefault="00BB693B" w:rsidP="00BB693B">
            <w:pPr>
              <w:rPr>
                <w:sz w:val="18"/>
                <w:szCs w:val="18"/>
              </w:rPr>
            </w:pPr>
            <w:r w:rsidRPr="003A3C18">
              <w:rPr>
                <w:sz w:val="18"/>
                <w:szCs w:val="18"/>
              </w:rPr>
              <w:t>Beer Bier</w:t>
            </w:r>
          </w:p>
        </w:tc>
        <w:tc>
          <w:tcPr>
            <w:tcW w:w="1860" w:type="dxa"/>
            <w:vAlign w:val="center"/>
            <w:hideMark/>
          </w:tcPr>
          <w:p w:rsidR="00BB693B" w:rsidRPr="003A3C18" w:rsidRDefault="00BB693B" w:rsidP="00BB693B">
            <w:pPr>
              <w:rPr>
                <w:sz w:val="18"/>
                <w:szCs w:val="18"/>
              </w:rPr>
            </w:pPr>
            <w:r w:rsidRPr="003A3C18">
              <w:rPr>
                <w:sz w:val="18"/>
                <w:szCs w:val="18"/>
              </w:rPr>
              <w:t>Bell Belle</w:t>
            </w:r>
          </w:p>
        </w:tc>
        <w:tc>
          <w:tcPr>
            <w:tcW w:w="3375" w:type="dxa"/>
            <w:vAlign w:val="center"/>
            <w:hideMark/>
          </w:tcPr>
          <w:p w:rsidR="00BB693B" w:rsidRPr="003A3C18" w:rsidRDefault="00BB693B" w:rsidP="00BB693B">
            <w:pPr>
              <w:ind w:right="405"/>
              <w:rPr>
                <w:sz w:val="18"/>
                <w:szCs w:val="18"/>
              </w:rPr>
            </w:pPr>
            <w:r w:rsidRPr="003A3C18">
              <w:rPr>
                <w:sz w:val="18"/>
                <w:szCs w:val="18"/>
              </w:rPr>
              <w:t>Berry Bury</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Berth Birth</w:t>
            </w:r>
          </w:p>
        </w:tc>
        <w:tc>
          <w:tcPr>
            <w:tcW w:w="1770" w:type="dxa"/>
            <w:vAlign w:val="center"/>
            <w:hideMark/>
          </w:tcPr>
          <w:p w:rsidR="00BB693B" w:rsidRPr="003A3C18" w:rsidRDefault="00BB693B" w:rsidP="00BB693B">
            <w:pPr>
              <w:rPr>
                <w:sz w:val="18"/>
                <w:szCs w:val="18"/>
              </w:rPr>
            </w:pPr>
            <w:r w:rsidRPr="003A3C18">
              <w:rPr>
                <w:sz w:val="18"/>
                <w:szCs w:val="18"/>
              </w:rPr>
              <w:t>Billed Build</w:t>
            </w:r>
          </w:p>
        </w:tc>
        <w:tc>
          <w:tcPr>
            <w:tcW w:w="1860" w:type="dxa"/>
            <w:vAlign w:val="center"/>
            <w:hideMark/>
          </w:tcPr>
          <w:p w:rsidR="00BB693B" w:rsidRPr="003A3C18" w:rsidRDefault="00BB693B" w:rsidP="00BB693B">
            <w:pPr>
              <w:rPr>
                <w:sz w:val="18"/>
                <w:szCs w:val="18"/>
              </w:rPr>
            </w:pPr>
            <w:r w:rsidRPr="003A3C18">
              <w:rPr>
                <w:sz w:val="18"/>
                <w:szCs w:val="18"/>
              </w:rPr>
              <w:t>Blew Blue</w:t>
            </w:r>
          </w:p>
        </w:tc>
        <w:tc>
          <w:tcPr>
            <w:tcW w:w="3375" w:type="dxa"/>
            <w:vAlign w:val="center"/>
            <w:hideMark/>
          </w:tcPr>
          <w:p w:rsidR="00BB693B" w:rsidRPr="003A3C18" w:rsidRDefault="00BB693B" w:rsidP="00BB693B">
            <w:pPr>
              <w:ind w:right="405"/>
              <w:rPr>
                <w:sz w:val="18"/>
                <w:szCs w:val="18"/>
              </w:rPr>
            </w:pPr>
            <w:r w:rsidRPr="003A3C18">
              <w:rPr>
                <w:sz w:val="18"/>
                <w:szCs w:val="18"/>
              </w:rPr>
              <w:t>Bloc Block</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Boar Bore</w:t>
            </w:r>
          </w:p>
        </w:tc>
        <w:tc>
          <w:tcPr>
            <w:tcW w:w="1770" w:type="dxa"/>
            <w:vAlign w:val="center"/>
            <w:hideMark/>
          </w:tcPr>
          <w:p w:rsidR="00BB693B" w:rsidRPr="003A3C18" w:rsidRDefault="00BB693B" w:rsidP="00BB693B">
            <w:pPr>
              <w:rPr>
                <w:sz w:val="18"/>
                <w:szCs w:val="18"/>
              </w:rPr>
            </w:pPr>
            <w:r w:rsidRPr="003A3C18">
              <w:rPr>
                <w:sz w:val="18"/>
                <w:szCs w:val="18"/>
              </w:rPr>
              <w:t>Board Bored</w:t>
            </w:r>
          </w:p>
        </w:tc>
        <w:tc>
          <w:tcPr>
            <w:tcW w:w="1860" w:type="dxa"/>
            <w:vAlign w:val="center"/>
            <w:hideMark/>
          </w:tcPr>
          <w:p w:rsidR="00BB693B" w:rsidRPr="003A3C18" w:rsidRDefault="00BB693B" w:rsidP="00BB693B">
            <w:pPr>
              <w:rPr>
                <w:sz w:val="18"/>
                <w:szCs w:val="18"/>
              </w:rPr>
            </w:pPr>
            <w:r w:rsidRPr="003A3C18">
              <w:rPr>
                <w:sz w:val="18"/>
                <w:szCs w:val="18"/>
              </w:rPr>
              <w:t>Boarder Border</w:t>
            </w:r>
          </w:p>
        </w:tc>
        <w:tc>
          <w:tcPr>
            <w:tcW w:w="3375" w:type="dxa"/>
            <w:vAlign w:val="center"/>
            <w:hideMark/>
          </w:tcPr>
          <w:p w:rsidR="00BB693B" w:rsidRPr="003A3C18" w:rsidRDefault="00BB693B" w:rsidP="00BB693B">
            <w:pPr>
              <w:ind w:right="405"/>
              <w:rPr>
                <w:sz w:val="18"/>
                <w:szCs w:val="18"/>
              </w:rPr>
            </w:pPr>
            <w:r w:rsidRPr="003A3C18">
              <w:rPr>
                <w:sz w:val="18"/>
                <w:szCs w:val="18"/>
              </w:rPr>
              <w:t>Bold Bowled</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Bolder Boulder</w:t>
            </w:r>
          </w:p>
        </w:tc>
        <w:tc>
          <w:tcPr>
            <w:tcW w:w="1770" w:type="dxa"/>
            <w:vAlign w:val="center"/>
            <w:hideMark/>
          </w:tcPr>
          <w:p w:rsidR="00BB693B" w:rsidRPr="003A3C18" w:rsidRDefault="00BB693B" w:rsidP="00BB693B">
            <w:pPr>
              <w:rPr>
                <w:sz w:val="18"/>
                <w:szCs w:val="18"/>
              </w:rPr>
            </w:pPr>
            <w:r w:rsidRPr="003A3C18">
              <w:rPr>
                <w:sz w:val="18"/>
                <w:szCs w:val="18"/>
              </w:rPr>
              <w:t>Bootie Booty</w:t>
            </w:r>
          </w:p>
        </w:tc>
        <w:tc>
          <w:tcPr>
            <w:tcW w:w="1860" w:type="dxa"/>
            <w:vAlign w:val="center"/>
            <w:hideMark/>
          </w:tcPr>
          <w:p w:rsidR="00BB693B" w:rsidRPr="003A3C18" w:rsidRDefault="00BB693B" w:rsidP="00BB693B">
            <w:pPr>
              <w:rPr>
                <w:sz w:val="18"/>
                <w:szCs w:val="18"/>
              </w:rPr>
            </w:pPr>
            <w:r w:rsidRPr="003A3C18">
              <w:rPr>
                <w:sz w:val="18"/>
                <w:szCs w:val="18"/>
              </w:rPr>
              <w:t>Born Borne</w:t>
            </w:r>
          </w:p>
        </w:tc>
        <w:tc>
          <w:tcPr>
            <w:tcW w:w="3375" w:type="dxa"/>
            <w:vAlign w:val="center"/>
            <w:hideMark/>
          </w:tcPr>
          <w:p w:rsidR="00BB693B" w:rsidRPr="003A3C18" w:rsidRDefault="00BB693B" w:rsidP="00BB693B">
            <w:pPr>
              <w:ind w:right="405"/>
              <w:rPr>
                <w:sz w:val="18"/>
                <w:szCs w:val="18"/>
              </w:rPr>
            </w:pPr>
            <w:r w:rsidRPr="003A3C18">
              <w:rPr>
                <w:sz w:val="18"/>
                <w:szCs w:val="18"/>
              </w:rPr>
              <w:t>Burro Burrow</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Bough Bow</w:t>
            </w:r>
          </w:p>
        </w:tc>
        <w:tc>
          <w:tcPr>
            <w:tcW w:w="1770" w:type="dxa"/>
            <w:vAlign w:val="center"/>
            <w:hideMark/>
          </w:tcPr>
          <w:p w:rsidR="00BB693B" w:rsidRPr="003A3C18" w:rsidRDefault="00BB693B" w:rsidP="00BB693B">
            <w:pPr>
              <w:rPr>
                <w:sz w:val="18"/>
                <w:szCs w:val="18"/>
              </w:rPr>
            </w:pPr>
            <w:r w:rsidRPr="003A3C18">
              <w:rPr>
                <w:sz w:val="18"/>
                <w:szCs w:val="18"/>
              </w:rPr>
              <w:t>Braid Brayed</w:t>
            </w:r>
          </w:p>
        </w:tc>
        <w:tc>
          <w:tcPr>
            <w:tcW w:w="1860" w:type="dxa"/>
            <w:vAlign w:val="center"/>
            <w:hideMark/>
          </w:tcPr>
          <w:p w:rsidR="00BB693B" w:rsidRPr="003A3C18" w:rsidRDefault="00BB693B" w:rsidP="00BB693B">
            <w:pPr>
              <w:rPr>
                <w:sz w:val="18"/>
                <w:szCs w:val="18"/>
              </w:rPr>
            </w:pPr>
            <w:r w:rsidRPr="003A3C18">
              <w:rPr>
                <w:sz w:val="18"/>
                <w:szCs w:val="18"/>
              </w:rPr>
              <w:t>Brake Break</w:t>
            </w:r>
          </w:p>
        </w:tc>
        <w:tc>
          <w:tcPr>
            <w:tcW w:w="3375" w:type="dxa"/>
            <w:vAlign w:val="center"/>
            <w:hideMark/>
          </w:tcPr>
          <w:p w:rsidR="00BB693B" w:rsidRPr="003A3C18" w:rsidRDefault="00BB693B" w:rsidP="00BB693B">
            <w:pPr>
              <w:ind w:right="405"/>
              <w:rPr>
                <w:sz w:val="18"/>
                <w:szCs w:val="18"/>
              </w:rPr>
            </w:pPr>
            <w:r w:rsidRPr="003A3C18">
              <w:rPr>
                <w:sz w:val="18"/>
                <w:szCs w:val="18"/>
              </w:rPr>
              <w:t>Bread Bred</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Brewed Brood</w:t>
            </w:r>
          </w:p>
        </w:tc>
        <w:tc>
          <w:tcPr>
            <w:tcW w:w="1770" w:type="dxa"/>
            <w:vAlign w:val="center"/>
            <w:hideMark/>
          </w:tcPr>
          <w:p w:rsidR="00BB693B" w:rsidRPr="003A3C18" w:rsidRDefault="00BB693B" w:rsidP="00BB693B">
            <w:pPr>
              <w:rPr>
                <w:sz w:val="18"/>
                <w:szCs w:val="18"/>
              </w:rPr>
            </w:pPr>
            <w:r w:rsidRPr="003A3C18">
              <w:rPr>
                <w:sz w:val="18"/>
                <w:szCs w:val="18"/>
              </w:rPr>
              <w:t>Brews Bruise</w:t>
            </w:r>
          </w:p>
        </w:tc>
        <w:tc>
          <w:tcPr>
            <w:tcW w:w="1860" w:type="dxa"/>
            <w:vAlign w:val="center"/>
            <w:hideMark/>
          </w:tcPr>
          <w:p w:rsidR="00BB693B" w:rsidRPr="003A3C18" w:rsidRDefault="00BB693B" w:rsidP="00BB693B">
            <w:pPr>
              <w:rPr>
                <w:sz w:val="18"/>
                <w:szCs w:val="18"/>
              </w:rPr>
            </w:pPr>
            <w:r w:rsidRPr="003A3C18">
              <w:rPr>
                <w:sz w:val="18"/>
                <w:szCs w:val="18"/>
              </w:rPr>
              <w:t>Bridal Bridle</w:t>
            </w:r>
          </w:p>
        </w:tc>
        <w:tc>
          <w:tcPr>
            <w:tcW w:w="3375" w:type="dxa"/>
            <w:vAlign w:val="center"/>
            <w:hideMark/>
          </w:tcPr>
          <w:p w:rsidR="00BB693B" w:rsidRPr="003A3C18" w:rsidRDefault="00BB693B" w:rsidP="00BB693B">
            <w:pPr>
              <w:ind w:right="405"/>
              <w:rPr>
                <w:sz w:val="18"/>
                <w:szCs w:val="18"/>
              </w:rPr>
            </w:pPr>
            <w:r w:rsidRPr="003A3C18">
              <w:rPr>
                <w:sz w:val="18"/>
                <w:szCs w:val="18"/>
              </w:rPr>
              <w:t>Broach Brooch</w:t>
            </w:r>
          </w:p>
        </w:tc>
      </w:tr>
      <w:tr w:rsidR="00BB693B" w:rsidRPr="003A3C18" w:rsidTr="00BB693B">
        <w:trPr>
          <w:tblCellSpacing w:w="15" w:type="dxa"/>
        </w:trPr>
        <w:tc>
          <w:tcPr>
            <w:tcW w:w="1845" w:type="dxa"/>
            <w:vAlign w:val="center"/>
            <w:hideMark/>
          </w:tcPr>
          <w:p w:rsidR="00BB693B" w:rsidRPr="003A3C18" w:rsidRDefault="00BB693B" w:rsidP="00BB693B">
            <w:pPr>
              <w:rPr>
                <w:sz w:val="18"/>
                <w:szCs w:val="18"/>
              </w:rPr>
            </w:pPr>
            <w:r w:rsidRPr="003A3C18">
              <w:rPr>
                <w:sz w:val="18"/>
                <w:szCs w:val="18"/>
              </w:rPr>
              <w:t>Brows Browse</w:t>
            </w:r>
          </w:p>
        </w:tc>
        <w:tc>
          <w:tcPr>
            <w:tcW w:w="1770" w:type="dxa"/>
            <w:vAlign w:val="center"/>
            <w:hideMark/>
          </w:tcPr>
          <w:p w:rsidR="00BB693B" w:rsidRPr="003A3C18" w:rsidRDefault="00BB693B" w:rsidP="00BB693B">
            <w:pPr>
              <w:rPr>
                <w:sz w:val="18"/>
                <w:szCs w:val="18"/>
              </w:rPr>
            </w:pPr>
            <w:r w:rsidRPr="003A3C18">
              <w:rPr>
                <w:sz w:val="18"/>
                <w:szCs w:val="18"/>
              </w:rPr>
              <w:t>But Butt</w:t>
            </w:r>
          </w:p>
        </w:tc>
        <w:tc>
          <w:tcPr>
            <w:tcW w:w="1860" w:type="dxa"/>
            <w:vAlign w:val="center"/>
            <w:hideMark/>
          </w:tcPr>
          <w:p w:rsidR="00BB693B" w:rsidRPr="003A3C18" w:rsidRDefault="00BB693B" w:rsidP="00BB693B">
            <w:pPr>
              <w:rPr>
                <w:sz w:val="18"/>
                <w:szCs w:val="18"/>
              </w:rPr>
            </w:pPr>
            <w:r w:rsidRPr="003A3C18">
              <w:rPr>
                <w:sz w:val="18"/>
                <w:szCs w:val="18"/>
              </w:rPr>
              <w:t>Buy Bye</w:t>
            </w:r>
          </w:p>
        </w:tc>
        <w:tc>
          <w:tcPr>
            <w:tcW w:w="3375" w:type="dxa"/>
            <w:vAlign w:val="center"/>
            <w:hideMark/>
          </w:tcPr>
          <w:p w:rsidR="00BB693B" w:rsidRPr="003A3C18" w:rsidRDefault="00BB693B" w:rsidP="00BB693B">
            <w:pPr>
              <w:ind w:right="405"/>
              <w:rPr>
                <w:sz w:val="18"/>
                <w:szCs w:val="18"/>
              </w:rPr>
            </w:pPr>
            <w:r w:rsidRPr="003A3C18">
              <w:rPr>
                <w:sz w:val="18"/>
                <w:szCs w:val="18"/>
              </w:rPr>
              <w:t>Caddie Caddy</w:t>
            </w:r>
          </w:p>
        </w:tc>
      </w:tr>
    </w:tbl>
    <w:p w:rsidR="00EE3386" w:rsidRPr="003A3C18" w:rsidRDefault="00634628" w:rsidP="00A4066C">
      <w:pPr>
        <w:rPr>
          <w:sz w:val="18"/>
          <w:szCs w:val="18"/>
        </w:rPr>
      </w:pPr>
      <w:r>
        <w:rPr>
          <w:sz w:val="18"/>
          <w:szCs w:val="18"/>
        </w:rPr>
        <w:t xml:space="preserve">So it is </w:t>
      </w:r>
      <w:r w:rsidR="00BB693B" w:rsidRPr="003A3C18">
        <w:rPr>
          <w:sz w:val="18"/>
          <w:szCs w:val="18"/>
        </w:rPr>
        <w:t xml:space="preserve">reasonable </w:t>
      </w:r>
      <w:r w:rsidR="00D832A5" w:rsidRPr="003A3C18">
        <w:rPr>
          <w:sz w:val="18"/>
          <w:szCs w:val="18"/>
        </w:rPr>
        <w:t xml:space="preserve">to assume that </w:t>
      </w:r>
      <w:r w:rsidR="00754ACF" w:rsidRPr="003A3C18">
        <w:rPr>
          <w:sz w:val="18"/>
          <w:szCs w:val="18"/>
        </w:rPr>
        <w:t>the public will be able to discern</w:t>
      </w:r>
      <w:r w:rsidR="0023113F" w:rsidRPr="003A3C18">
        <w:rPr>
          <w:sz w:val="18"/>
          <w:szCs w:val="18"/>
        </w:rPr>
        <w:t xml:space="preserve"> and distinguish the Applicant’s mark peepl </w:t>
      </w:r>
      <w:r>
        <w:rPr>
          <w:sz w:val="18"/>
          <w:szCs w:val="18"/>
        </w:rPr>
        <w:t xml:space="preserve">from the Registrant’s mark PPL and not confuse the source of goods of the Applicant with that of the Registrant. </w:t>
      </w:r>
    </w:p>
    <w:p w:rsidR="00754ACF" w:rsidRPr="003A3C18" w:rsidRDefault="00754ACF" w:rsidP="00A4066C">
      <w:pPr>
        <w:rPr>
          <w:sz w:val="18"/>
          <w:szCs w:val="18"/>
        </w:rPr>
      </w:pPr>
    </w:p>
    <w:p w:rsidR="004F2FA6" w:rsidRPr="003A3C18" w:rsidRDefault="001F4394" w:rsidP="00A4066C">
      <w:pPr>
        <w:rPr>
          <w:sz w:val="18"/>
          <w:szCs w:val="18"/>
        </w:rPr>
      </w:pPr>
      <w:r w:rsidRPr="003A3C18">
        <w:rPr>
          <w:sz w:val="18"/>
          <w:szCs w:val="18"/>
        </w:rPr>
        <w:t>Also</w:t>
      </w:r>
      <w:r w:rsidR="004F2FA6" w:rsidRPr="003A3C18">
        <w:rPr>
          <w:sz w:val="18"/>
          <w:szCs w:val="18"/>
        </w:rPr>
        <w:t xml:space="preserve">, </w:t>
      </w:r>
      <w:r w:rsidR="001179B0">
        <w:rPr>
          <w:sz w:val="18"/>
          <w:szCs w:val="18"/>
        </w:rPr>
        <w:t>to address a general point of issue…</w:t>
      </w:r>
      <w:r w:rsidRPr="003A3C18">
        <w:rPr>
          <w:sz w:val="18"/>
          <w:szCs w:val="18"/>
        </w:rPr>
        <w:t xml:space="preserve">if </w:t>
      </w:r>
      <w:r w:rsidR="004F2FA6" w:rsidRPr="003A3C18">
        <w:rPr>
          <w:sz w:val="18"/>
          <w:szCs w:val="18"/>
        </w:rPr>
        <w:t>it is impossible to predict the behavior of the public in pronunciation of a word then how is it possible to predict the behavior of the public in the discernment of meaning of a word as the Examining Attorney does in the later parts of the refusal?</w:t>
      </w:r>
    </w:p>
    <w:p w:rsidR="001F4394" w:rsidRPr="003A3C18" w:rsidRDefault="001F4394" w:rsidP="00A4066C">
      <w:pPr>
        <w:rPr>
          <w:sz w:val="18"/>
          <w:szCs w:val="18"/>
        </w:rPr>
      </w:pPr>
      <w:r w:rsidRPr="003A3C18">
        <w:rPr>
          <w:sz w:val="18"/>
          <w:szCs w:val="18"/>
        </w:rPr>
        <w:t xml:space="preserve">“…variations of the word </w:t>
      </w:r>
      <w:r w:rsidR="00754ACF" w:rsidRPr="003A3C18">
        <w:rPr>
          <w:sz w:val="18"/>
          <w:szCs w:val="18"/>
        </w:rPr>
        <w:t>‘</w:t>
      </w:r>
      <w:r w:rsidRPr="003A3C18">
        <w:rPr>
          <w:sz w:val="18"/>
          <w:szCs w:val="18"/>
        </w:rPr>
        <w:t>people</w:t>
      </w:r>
      <w:r w:rsidR="00754ACF" w:rsidRPr="003A3C18">
        <w:rPr>
          <w:sz w:val="18"/>
          <w:szCs w:val="18"/>
        </w:rPr>
        <w:t>’</w:t>
      </w:r>
      <w:r w:rsidRPr="003A3C18">
        <w:rPr>
          <w:sz w:val="18"/>
          <w:szCs w:val="18"/>
        </w:rPr>
        <w:t xml:space="preserve"> and could clearly be pronounced the same.” (Prediction/Speculation)</w:t>
      </w:r>
    </w:p>
    <w:p w:rsidR="001F4394" w:rsidRPr="003A3C18" w:rsidRDefault="001F4394" w:rsidP="00A4066C">
      <w:pPr>
        <w:rPr>
          <w:sz w:val="18"/>
          <w:szCs w:val="18"/>
        </w:rPr>
      </w:pPr>
      <w:r w:rsidRPr="003A3C18">
        <w:rPr>
          <w:sz w:val="18"/>
          <w:szCs w:val="18"/>
        </w:rPr>
        <w:t xml:space="preserve">“…both marks are </w:t>
      </w:r>
      <w:r w:rsidR="00754ACF" w:rsidRPr="003A3C18">
        <w:rPr>
          <w:sz w:val="18"/>
          <w:szCs w:val="18"/>
        </w:rPr>
        <w:t>variations</w:t>
      </w:r>
      <w:r w:rsidRPr="003A3C18">
        <w:rPr>
          <w:sz w:val="18"/>
          <w:szCs w:val="18"/>
        </w:rPr>
        <w:t xml:space="preserve"> of the word ‘people’ and thus could be remembered as such, without the consumer remembering the specific spelling.”</w:t>
      </w:r>
      <w:r w:rsidR="00754ACF" w:rsidRPr="003A3C18">
        <w:rPr>
          <w:sz w:val="18"/>
          <w:szCs w:val="18"/>
        </w:rPr>
        <w:t xml:space="preserve"> (Prediction/Speculation)</w:t>
      </w:r>
    </w:p>
    <w:p w:rsidR="001F4394" w:rsidRPr="003A3C18" w:rsidRDefault="001F4394" w:rsidP="00754ACF">
      <w:pPr>
        <w:rPr>
          <w:sz w:val="18"/>
          <w:szCs w:val="18"/>
        </w:rPr>
      </w:pPr>
      <w:r w:rsidRPr="003A3C18">
        <w:rPr>
          <w:sz w:val="18"/>
          <w:szCs w:val="18"/>
        </w:rPr>
        <w:t>“…</w:t>
      </w:r>
      <w:r w:rsidR="00754ACF" w:rsidRPr="003A3C18">
        <w:rPr>
          <w:sz w:val="18"/>
          <w:szCs w:val="18"/>
        </w:rPr>
        <w:t>both marks are variations of the word “people” with no other distinguishable elements to differentiate them, consumers retaining only a general impression of each mark are likely to confuse the applied-for mark with the registered mark, as these consumers will not be expected to remember specific spellings of otherwise identical marks.” (Prediction/Speculation)</w:t>
      </w:r>
    </w:p>
    <w:p w:rsidR="00754ACF" w:rsidRPr="003A3C18" w:rsidRDefault="00754ACF" w:rsidP="00754ACF">
      <w:pPr>
        <w:rPr>
          <w:sz w:val="18"/>
          <w:szCs w:val="18"/>
        </w:rPr>
      </w:pPr>
    </w:p>
    <w:p w:rsidR="001F4394" w:rsidRPr="003A3C18" w:rsidRDefault="001F4394" w:rsidP="001F4394">
      <w:pPr>
        <w:rPr>
          <w:sz w:val="18"/>
          <w:szCs w:val="18"/>
        </w:rPr>
      </w:pPr>
      <w:r w:rsidRPr="003A3C18">
        <w:rPr>
          <w:sz w:val="18"/>
          <w:szCs w:val="18"/>
        </w:rPr>
        <w:t>So the Examining Attorney states it is impossible to predict public behavior but makes assertions predicting public behavior? The Examining Attorney can’t predict one behavior of the public but can predict another behavior if it supports his argument?</w:t>
      </w:r>
    </w:p>
    <w:p w:rsidR="00EE3386" w:rsidRPr="003A3C18" w:rsidRDefault="00EE3386" w:rsidP="00A4066C">
      <w:pPr>
        <w:rPr>
          <w:sz w:val="18"/>
          <w:szCs w:val="18"/>
        </w:rPr>
      </w:pPr>
    </w:p>
    <w:p w:rsidR="00754ACF" w:rsidRPr="003A3C18" w:rsidRDefault="001179B0" w:rsidP="00A4066C">
      <w:pPr>
        <w:rPr>
          <w:sz w:val="18"/>
          <w:szCs w:val="18"/>
        </w:rPr>
      </w:pPr>
      <w:r>
        <w:rPr>
          <w:sz w:val="18"/>
          <w:szCs w:val="18"/>
        </w:rPr>
        <w:t>With all due respect, t</w:t>
      </w:r>
      <w:r w:rsidR="00754ACF" w:rsidRPr="003A3C18">
        <w:rPr>
          <w:sz w:val="18"/>
          <w:szCs w:val="18"/>
        </w:rPr>
        <w:t>he Examining</w:t>
      </w:r>
      <w:r>
        <w:rPr>
          <w:sz w:val="18"/>
          <w:szCs w:val="18"/>
        </w:rPr>
        <w:t xml:space="preserve"> Attorney’s argument is an over</w:t>
      </w:r>
      <w:r w:rsidR="00754ACF" w:rsidRPr="003A3C18">
        <w:rPr>
          <w:sz w:val="18"/>
          <w:szCs w:val="18"/>
        </w:rPr>
        <w:t xml:space="preserve">reach of misapplied citations and speculation with no basis in evidence. The marks are </w:t>
      </w:r>
      <w:r w:rsidR="006741EB" w:rsidRPr="003A3C18">
        <w:rPr>
          <w:sz w:val="18"/>
          <w:szCs w:val="18"/>
        </w:rPr>
        <w:t>distinguishably</w:t>
      </w:r>
      <w:r>
        <w:rPr>
          <w:sz w:val="18"/>
          <w:szCs w:val="18"/>
        </w:rPr>
        <w:t xml:space="preserve"> different, representing companies/organizations with different products, </w:t>
      </w:r>
      <w:r w:rsidR="00754ACF" w:rsidRPr="003A3C18">
        <w:rPr>
          <w:sz w:val="18"/>
          <w:szCs w:val="18"/>
        </w:rPr>
        <w:t xml:space="preserve">in different industries, </w:t>
      </w:r>
      <w:r>
        <w:rPr>
          <w:sz w:val="18"/>
          <w:szCs w:val="18"/>
        </w:rPr>
        <w:t xml:space="preserve">using different trade channels, </w:t>
      </w:r>
      <w:r w:rsidR="00754ACF" w:rsidRPr="003A3C18">
        <w:rPr>
          <w:sz w:val="18"/>
          <w:szCs w:val="18"/>
        </w:rPr>
        <w:t xml:space="preserve">with different clientele. </w:t>
      </w:r>
    </w:p>
    <w:p w:rsidR="008A3895" w:rsidRPr="003A3C18" w:rsidRDefault="00EE3386" w:rsidP="00A4066C">
      <w:pPr>
        <w:rPr>
          <w:sz w:val="18"/>
          <w:szCs w:val="18"/>
        </w:rPr>
      </w:pPr>
      <w:r w:rsidRPr="003A3C18">
        <w:rPr>
          <w:sz w:val="18"/>
          <w:szCs w:val="18"/>
        </w:rPr>
        <w:t xml:space="preserve"> </w:t>
      </w:r>
    </w:p>
    <w:p w:rsidR="00004F20" w:rsidRPr="003A3C18" w:rsidRDefault="00004F20" w:rsidP="00A4066C">
      <w:pPr>
        <w:rPr>
          <w:b/>
          <w:sz w:val="18"/>
          <w:szCs w:val="18"/>
        </w:rPr>
      </w:pPr>
      <w:r w:rsidRPr="003A3C18">
        <w:rPr>
          <w:b/>
          <w:sz w:val="18"/>
          <w:szCs w:val="18"/>
        </w:rPr>
        <w:t xml:space="preserve">Distinctions of </w:t>
      </w:r>
      <w:r w:rsidR="00754ACF" w:rsidRPr="003A3C18">
        <w:rPr>
          <w:b/>
          <w:sz w:val="18"/>
          <w:szCs w:val="18"/>
        </w:rPr>
        <w:t xml:space="preserve">Applicant’s </w:t>
      </w:r>
      <w:r w:rsidRPr="003A3C18">
        <w:rPr>
          <w:b/>
          <w:sz w:val="18"/>
          <w:szCs w:val="18"/>
        </w:rPr>
        <w:t>Mark</w:t>
      </w:r>
    </w:p>
    <w:p w:rsidR="00A33D84" w:rsidRDefault="003B2BC8" w:rsidP="00A4066C">
      <w:pPr>
        <w:rPr>
          <w:sz w:val="18"/>
          <w:szCs w:val="18"/>
        </w:rPr>
      </w:pPr>
      <w:r>
        <w:rPr>
          <w:sz w:val="18"/>
          <w:szCs w:val="18"/>
        </w:rPr>
        <w:t xml:space="preserve">Contrary to the assertions of </w:t>
      </w:r>
      <w:r w:rsidR="001179B0">
        <w:rPr>
          <w:sz w:val="18"/>
          <w:szCs w:val="18"/>
        </w:rPr>
        <w:t xml:space="preserve">the Examining Attorney, marks must be considered in </w:t>
      </w:r>
      <w:r>
        <w:rPr>
          <w:sz w:val="18"/>
          <w:szCs w:val="18"/>
        </w:rPr>
        <w:t xml:space="preserve">their entirety and not improperly dissected or reduced to arbitrary factors which, in this case, work only to weakly support the arguments for refusal. </w:t>
      </w:r>
      <w:r w:rsidR="00D1180C" w:rsidRPr="003A3C18">
        <w:rPr>
          <w:sz w:val="18"/>
          <w:szCs w:val="18"/>
        </w:rPr>
        <w:t xml:space="preserve">Because marks must be considered in their entirety, the Applicant’s stylized mark ‘peepl’ creates a markedly </w:t>
      </w:r>
      <w:r>
        <w:rPr>
          <w:sz w:val="18"/>
          <w:szCs w:val="18"/>
        </w:rPr>
        <w:t xml:space="preserve">distinct, non-confusing </w:t>
      </w:r>
      <w:r w:rsidR="00D1180C" w:rsidRPr="003A3C18">
        <w:rPr>
          <w:sz w:val="18"/>
          <w:szCs w:val="18"/>
        </w:rPr>
        <w:t>commercial impression</w:t>
      </w:r>
      <w:r>
        <w:rPr>
          <w:sz w:val="18"/>
          <w:szCs w:val="18"/>
        </w:rPr>
        <w:t xml:space="preserve">, unique and different </w:t>
      </w:r>
      <w:r w:rsidR="00D1180C" w:rsidRPr="003A3C18">
        <w:rPr>
          <w:sz w:val="18"/>
          <w:szCs w:val="18"/>
        </w:rPr>
        <w:t xml:space="preserve">from the Registrant’s mark. </w:t>
      </w:r>
      <w:r w:rsidR="006F3E5D" w:rsidRPr="003A3C18">
        <w:rPr>
          <w:sz w:val="18"/>
          <w:szCs w:val="18"/>
        </w:rPr>
        <w:t>The o</w:t>
      </w:r>
      <w:r w:rsidR="0038719E" w:rsidRPr="003A3C18">
        <w:rPr>
          <w:sz w:val="18"/>
          <w:szCs w:val="18"/>
        </w:rPr>
        <w:t>verall commercial impression</w:t>
      </w:r>
      <w:r w:rsidR="00D1180C" w:rsidRPr="003A3C18">
        <w:rPr>
          <w:sz w:val="18"/>
          <w:szCs w:val="18"/>
        </w:rPr>
        <w:t xml:space="preserve"> of a mark does include</w:t>
      </w:r>
      <w:r w:rsidR="0038719E" w:rsidRPr="003A3C18">
        <w:rPr>
          <w:sz w:val="18"/>
          <w:szCs w:val="18"/>
        </w:rPr>
        <w:t xml:space="preserve"> the visual impact a mark establishes. The visual impact – style, font, color, size, spelling, design elements – informs the impress</w:t>
      </w:r>
      <w:r>
        <w:rPr>
          <w:sz w:val="18"/>
          <w:szCs w:val="18"/>
        </w:rPr>
        <w:t>ion made upon a user/consumer</w:t>
      </w:r>
      <w:r w:rsidR="0038719E" w:rsidRPr="003A3C18">
        <w:rPr>
          <w:sz w:val="18"/>
          <w:szCs w:val="18"/>
        </w:rPr>
        <w:t>, especially in the case of the Applicant’s mark</w:t>
      </w:r>
      <w:r w:rsidR="006F3E5D" w:rsidRPr="003A3C18">
        <w:rPr>
          <w:sz w:val="18"/>
          <w:szCs w:val="18"/>
        </w:rPr>
        <w:t xml:space="preserve"> where in the aforementioned elements</w:t>
      </w:r>
      <w:r w:rsidR="001D6620">
        <w:rPr>
          <w:sz w:val="18"/>
          <w:szCs w:val="18"/>
        </w:rPr>
        <w:t xml:space="preserve"> convey a desc</w:t>
      </w:r>
      <w:r w:rsidR="006F3E5D" w:rsidRPr="003A3C18">
        <w:rPr>
          <w:sz w:val="18"/>
          <w:szCs w:val="18"/>
        </w:rPr>
        <w:t xml:space="preserve">riptive and suggestive value </w:t>
      </w:r>
      <w:r w:rsidR="001D6620">
        <w:rPr>
          <w:sz w:val="18"/>
          <w:szCs w:val="18"/>
        </w:rPr>
        <w:t xml:space="preserve">and impression </w:t>
      </w:r>
      <w:r w:rsidR="006F3E5D" w:rsidRPr="003A3C18">
        <w:rPr>
          <w:sz w:val="18"/>
          <w:szCs w:val="18"/>
        </w:rPr>
        <w:t xml:space="preserve">of the Applicant’s product. </w:t>
      </w:r>
      <w:r w:rsidR="00E05546" w:rsidRPr="003A3C18">
        <w:rPr>
          <w:sz w:val="18"/>
          <w:szCs w:val="18"/>
        </w:rPr>
        <w:t>Its</w:t>
      </w:r>
      <w:r w:rsidR="006F3E5D" w:rsidRPr="003A3C18">
        <w:rPr>
          <w:sz w:val="18"/>
          <w:szCs w:val="18"/>
        </w:rPr>
        <w:t xml:space="preserve"> novel misspelling is an intended and vital component of the commercial impression of the Applicant’s mark as it enunciates the word “people”, albeit with a different spelling</w:t>
      </w:r>
      <w:r w:rsidR="00E05546" w:rsidRPr="003A3C18">
        <w:rPr>
          <w:sz w:val="18"/>
          <w:szCs w:val="18"/>
        </w:rPr>
        <w:t xml:space="preserve">, yet includes the word peep </w:t>
      </w:r>
      <w:r w:rsidR="001D6620">
        <w:rPr>
          <w:sz w:val="18"/>
          <w:szCs w:val="18"/>
        </w:rPr>
        <w:t xml:space="preserve">which </w:t>
      </w:r>
      <w:r w:rsidR="00E05546" w:rsidRPr="003A3C18">
        <w:rPr>
          <w:sz w:val="18"/>
          <w:szCs w:val="18"/>
        </w:rPr>
        <w:t xml:space="preserve">is understood and accepted as a look into something, </w:t>
      </w:r>
      <w:r w:rsidR="006741EB" w:rsidRPr="003A3C18">
        <w:rPr>
          <w:sz w:val="18"/>
          <w:szCs w:val="18"/>
        </w:rPr>
        <w:t>i.e.</w:t>
      </w:r>
      <w:r w:rsidR="00E05546" w:rsidRPr="003A3C18">
        <w:rPr>
          <w:sz w:val="18"/>
          <w:szCs w:val="18"/>
        </w:rPr>
        <w:t>, “Take a peep at the report.” or “Take a peep into the room and tell me what’s going on.” To further support this concept, the Applicant’s mark also contains two letter</w:t>
      </w:r>
      <w:r w:rsidR="00D26A56">
        <w:rPr>
          <w:sz w:val="18"/>
          <w:szCs w:val="18"/>
        </w:rPr>
        <w:t xml:space="preserve"> “</w:t>
      </w:r>
      <w:r w:rsidR="00E05546" w:rsidRPr="003A3C18">
        <w:rPr>
          <w:sz w:val="18"/>
          <w:szCs w:val="18"/>
        </w:rPr>
        <w:t>e’s</w:t>
      </w:r>
      <w:r w:rsidR="00D26A56">
        <w:rPr>
          <w:sz w:val="18"/>
          <w:szCs w:val="18"/>
        </w:rPr>
        <w:t>”</w:t>
      </w:r>
      <w:r w:rsidR="00E05546" w:rsidRPr="003A3C18">
        <w:rPr>
          <w:sz w:val="18"/>
          <w:szCs w:val="18"/>
        </w:rPr>
        <w:t xml:space="preserve"> which face each oth</w:t>
      </w:r>
      <w:r w:rsidR="00D26A56">
        <w:rPr>
          <w:sz w:val="18"/>
          <w:szCs w:val="18"/>
        </w:rPr>
        <w:t xml:space="preserve">er, suggesting eyes, suggesting and reinforcing the action of “peeping” or looking into something as well as reinforcing the human eyes/the people component. </w:t>
      </w:r>
      <w:r w:rsidR="00E05546" w:rsidRPr="003A3C18">
        <w:rPr>
          <w:sz w:val="18"/>
          <w:szCs w:val="18"/>
        </w:rPr>
        <w:t>This makes a unique, definitive impact on the public and distinguishes the Applicant’</w:t>
      </w:r>
      <w:r w:rsidR="00D26A56">
        <w:rPr>
          <w:sz w:val="18"/>
          <w:szCs w:val="18"/>
        </w:rPr>
        <w:t xml:space="preserve">s goods over and above </w:t>
      </w:r>
      <w:r w:rsidR="00E05546" w:rsidRPr="003A3C18">
        <w:rPr>
          <w:sz w:val="18"/>
          <w:szCs w:val="18"/>
        </w:rPr>
        <w:t xml:space="preserve">other firms </w:t>
      </w:r>
      <w:r w:rsidR="00D26A56">
        <w:rPr>
          <w:sz w:val="18"/>
          <w:szCs w:val="18"/>
        </w:rPr>
        <w:t xml:space="preserve">good </w:t>
      </w:r>
      <w:r w:rsidR="00E05546" w:rsidRPr="003A3C18">
        <w:rPr>
          <w:sz w:val="18"/>
          <w:szCs w:val="18"/>
        </w:rPr>
        <w:t>regardless of the phonetics</w:t>
      </w:r>
      <w:r w:rsidR="00D26A56">
        <w:rPr>
          <w:sz w:val="18"/>
          <w:szCs w:val="18"/>
        </w:rPr>
        <w:t xml:space="preserve"> or pronunciations</w:t>
      </w:r>
      <w:r w:rsidR="00E05546" w:rsidRPr="003A3C18">
        <w:rPr>
          <w:sz w:val="18"/>
          <w:szCs w:val="18"/>
        </w:rPr>
        <w:t xml:space="preserve">. </w:t>
      </w:r>
    </w:p>
    <w:p w:rsidR="00A33D84" w:rsidRDefault="00A33D84" w:rsidP="00A4066C">
      <w:pPr>
        <w:rPr>
          <w:sz w:val="18"/>
          <w:szCs w:val="18"/>
        </w:rPr>
      </w:pPr>
    </w:p>
    <w:p w:rsidR="0038719E" w:rsidRDefault="00E05546" w:rsidP="00A4066C">
      <w:pPr>
        <w:rPr>
          <w:sz w:val="18"/>
          <w:szCs w:val="18"/>
        </w:rPr>
      </w:pPr>
      <w:r w:rsidRPr="003A3C18">
        <w:rPr>
          <w:sz w:val="18"/>
          <w:szCs w:val="18"/>
        </w:rPr>
        <w:t>The visual design cannot be minimized or severed fr</w:t>
      </w:r>
      <w:r w:rsidR="00D26A56">
        <w:rPr>
          <w:sz w:val="18"/>
          <w:szCs w:val="18"/>
        </w:rPr>
        <w:t>om the commercial impression. It is well established that we, as humans,</w:t>
      </w:r>
      <w:r w:rsidRPr="003A3C18">
        <w:rPr>
          <w:sz w:val="18"/>
          <w:szCs w:val="18"/>
        </w:rPr>
        <w:t xml:space="preserve"> are visually </w:t>
      </w:r>
      <w:r w:rsidR="006741EB" w:rsidRPr="003A3C18">
        <w:rPr>
          <w:sz w:val="18"/>
          <w:szCs w:val="18"/>
        </w:rPr>
        <w:t>driven;</w:t>
      </w:r>
      <w:r w:rsidRPr="003A3C18">
        <w:rPr>
          <w:sz w:val="18"/>
          <w:szCs w:val="18"/>
        </w:rPr>
        <w:t xml:space="preserve"> the visual impact of anything informs the overall impression and can and does distinguish one product from another, one source of goods from another. The stylized nature of the Applicant’s mark is essential to its identity, brand, and </w:t>
      </w:r>
      <w:r w:rsidR="00D26A56">
        <w:rPr>
          <w:sz w:val="18"/>
          <w:szCs w:val="18"/>
        </w:rPr>
        <w:t xml:space="preserve">commercial </w:t>
      </w:r>
      <w:r w:rsidRPr="003A3C18">
        <w:rPr>
          <w:sz w:val="18"/>
          <w:szCs w:val="18"/>
        </w:rPr>
        <w:t xml:space="preserve">impression. </w:t>
      </w:r>
      <w:r w:rsidR="00D26A56">
        <w:rPr>
          <w:sz w:val="18"/>
          <w:szCs w:val="18"/>
        </w:rPr>
        <w:t xml:space="preserve">The Examining Attorney </w:t>
      </w:r>
      <w:r w:rsidRPr="003A3C18">
        <w:rPr>
          <w:sz w:val="18"/>
          <w:szCs w:val="18"/>
        </w:rPr>
        <w:t xml:space="preserve">dismisses </w:t>
      </w:r>
      <w:r w:rsidR="00D26A56">
        <w:rPr>
          <w:sz w:val="18"/>
          <w:szCs w:val="18"/>
        </w:rPr>
        <w:t xml:space="preserve">the visual impact of the Applicant’s mark and </w:t>
      </w:r>
      <w:r w:rsidRPr="003A3C18">
        <w:rPr>
          <w:sz w:val="18"/>
          <w:szCs w:val="18"/>
        </w:rPr>
        <w:t xml:space="preserve">cites </w:t>
      </w:r>
      <w:r w:rsidR="007F794E">
        <w:rPr>
          <w:sz w:val="18"/>
          <w:szCs w:val="18"/>
        </w:rPr>
        <w:t xml:space="preserve">non-related </w:t>
      </w:r>
      <w:r w:rsidRPr="003A3C18">
        <w:rPr>
          <w:sz w:val="18"/>
          <w:szCs w:val="18"/>
        </w:rPr>
        <w:t>cases in making an overreaching, unnecessarily obstructive argument</w:t>
      </w:r>
      <w:r w:rsidR="0024376A" w:rsidRPr="003A3C18">
        <w:rPr>
          <w:sz w:val="18"/>
          <w:szCs w:val="18"/>
        </w:rPr>
        <w:t xml:space="preserve"> based on speculation of use that “…the marks could be presented in the same manner of display” while at the same time completely eliminating the unique features of the Applicant’s mark.  These unique features are central to the conveyance of the Applicant’s commercial impression and brand and cannot nor should not be minimized or discounted in any way.</w:t>
      </w:r>
    </w:p>
    <w:p w:rsidR="007F794E" w:rsidRPr="003A3C18" w:rsidRDefault="007F794E" w:rsidP="00A4066C">
      <w:pPr>
        <w:rPr>
          <w:sz w:val="18"/>
          <w:szCs w:val="18"/>
        </w:rPr>
      </w:pPr>
    </w:p>
    <w:p w:rsidR="0031692C" w:rsidRPr="003A3C18" w:rsidRDefault="0024376A" w:rsidP="00A4066C">
      <w:pPr>
        <w:rPr>
          <w:sz w:val="18"/>
          <w:szCs w:val="18"/>
        </w:rPr>
      </w:pPr>
      <w:r w:rsidRPr="003A3C18">
        <w:rPr>
          <w:sz w:val="18"/>
          <w:szCs w:val="18"/>
        </w:rPr>
        <w:t>Also, the Examining Attorney only asserts speculation as to the “likelihood of confusion” between the Applicant and Registrant’s marks and his evidence does not establish that relevant consumers would draw any association between the two marks or confuse the source of goods because of the marks.  As stated above, do consumers confuse faucets and airlines in relation to Delta? No. And it is well established that “likelihood of confusion cannot be predicated on dissection of a mark</w:t>
      </w:r>
      <w:r w:rsidR="00D1180C" w:rsidRPr="003A3C18">
        <w:rPr>
          <w:sz w:val="18"/>
          <w:szCs w:val="18"/>
        </w:rPr>
        <w:t>…the ultimate conclusion rests on consideration of the marks in their entireties.”  In re National Data Corp., 224 U.S.P.Q. 749, 751 (Fed. Cir. 1985); TMEP §1207.01(b)(iv). When the marks are compared in their entireties, they are significantly different in visual and aural impression (because no established pronunciation has been defined for Registrant’s mark as has for Applicant’s), in meaning, and in overall commercial impression.</w:t>
      </w:r>
    </w:p>
    <w:p w:rsidR="00BB0D65" w:rsidRPr="003A3C18" w:rsidRDefault="00BB0D65" w:rsidP="00A4066C">
      <w:pPr>
        <w:rPr>
          <w:sz w:val="18"/>
          <w:szCs w:val="18"/>
        </w:rPr>
      </w:pPr>
    </w:p>
    <w:p w:rsidR="00BB0D65" w:rsidRPr="003A3C18" w:rsidRDefault="00BB0D65" w:rsidP="00A4066C">
      <w:pPr>
        <w:rPr>
          <w:sz w:val="18"/>
          <w:szCs w:val="18"/>
        </w:rPr>
      </w:pPr>
    </w:p>
    <w:p w:rsidR="00EB7B94" w:rsidRPr="00A33D84" w:rsidRDefault="00D1180C" w:rsidP="00A33D84">
      <w:pPr>
        <w:rPr>
          <w:sz w:val="18"/>
          <w:szCs w:val="18"/>
        </w:rPr>
      </w:pPr>
      <w:r w:rsidRPr="00A33D84">
        <w:rPr>
          <w:b/>
          <w:sz w:val="18"/>
          <w:szCs w:val="18"/>
        </w:rPr>
        <w:t xml:space="preserve">DISSIMILARITIES OF PRODUCTS, </w:t>
      </w:r>
      <w:r w:rsidR="00EB7B94" w:rsidRPr="00A33D84">
        <w:rPr>
          <w:b/>
          <w:sz w:val="18"/>
          <w:szCs w:val="18"/>
        </w:rPr>
        <w:t xml:space="preserve">INDUSTRIES, </w:t>
      </w:r>
      <w:r w:rsidRPr="00A33D84">
        <w:rPr>
          <w:b/>
          <w:sz w:val="18"/>
          <w:szCs w:val="18"/>
        </w:rPr>
        <w:t xml:space="preserve">TRADE CHANNELS, &amp; </w:t>
      </w:r>
      <w:r w:rsidR="00EB7B94" w:rsidRPr="00A33D84">
        <w:rPr>
          <w:b/>
          <w:sz w:val="18"/>
          <w:szCs w:val="18"/>
        </w:rPr>
        <w:t xml:space="preserve">CLIENTELE </w:t>
      </w:r>
    </w:p>
    <w:p w:rsidR="00BB0D65" w:rsidRPr="003A3C18" w:rsidRDefault="00BB0D65" w:rsidP="00BB0D65">
      <w:pPr>
        <w:rPr>
          <w:sz w:val="18"/>
          <w:szCs w:val="18"/>
        </w:rPr>
      </w:pPr>
    </w:p>
    <w:p w:rsidR="00EB7B94" w:rsidRPr="003A3C18" w:rsidRDefault="00EB7B94" w:rsidP="00BB0D65">
      <w:pPr>
        <w:rPr>
          <w:b/>
          <w:sz w:val="18"/>
          <w:szCs w:val="18"/>
        </w:rPr>
      </w:pPr>
      <w:r w:rsidRPr="003A3C18">
        <w:rPr>
          <w:b/>
          <w:sz w:val="18"/>
          <w:szCs w:val="18"/>
        </w:rPr>
        <w:t>Dissimilarities of Products</w:t>
      </w:r>
    </w:p>
    <w:p w:rsidR="00BB0D65" w:rsidRPr="003A3C18" w:rsidRDefault="00BB0D65" w:rsidP="00BB0D65">
      <w:pPr>
        <w:rPr>
          <w:sz w:val="18"/>
          <w:szCs w:val="18"/>
        </w:rPr>
      </w:pPr>
      <w:r w:rsidRPr="003A3C18">
        <w:rPr>
          <w:sz w:val="18"/>
          <w:szCs w:val="18"/>
        </w:rPr>
        <w:t xml:space="preserve">The Applicant’s product (goods) is </w:t>
      </w:r>
      <w:r w:rsidR="0031692C" w:rsidRPr="003A3C18">
        <w:rPr>
          <w:sz w:val="18"/>
          <w:szCs w:val="18"/>
        </w:rPr>
        <w:t xml:space="preserve">a </w:t>
      </w:r>
      <w:r w:rsidRPr="003A3C18">
        <w:rPr>
          <w:sz w:val="18"/>
          <w:szCs w:val="18"/>
        </w:rPr>
        <w:t xml:space="preserve">computer software </w:t>
      </w:r>
      <w:r w:rsidR="0031692C" w:rsidRPr="003A3C18">
        <w:rPr>
          <w:sz w:val="18"/>
          <w:szCs w:val="18"/>
        </w:rPr>
        <w:t xml:space="preserve">program </w:t>
      </w:r>
      <w:r w:rsidRPr="003A3C18">
        <w:rPr>
          <w:sz w:val="18"/>
          <w:szCs w:val="18"/>
        </w:rPr>
        <w:t>developed for mobile application platforms – specifically smartphones – for the purpose of providing real-time info</w:t>
      </w:r>
      <w:r w:rsidR="0031692C" w:rsidRPr="003A3C18">
        <w:rPr>
          <w:sz w:val="18"/>
          <w:szCs w:val="18"/>
        </w:rPr>
        <w:t xml:space="preserve">rmation about </w:t>
      </w:r>
      <w:r w:rsidRPr="003A3C18">
        <w:rPr>
          <w:sz w:val="18"/>
          <w:szCs w:val="18"/>
        </w:rPr>
        <w:t xml:space="preserve">where people are and how many people are there. It is a consumer-based, purposed, and operated </w:t>
      </w:r>
      <w:r w:rsidR="007F794E">
        <w:rPr>
          <w:sz w:val="18"/>
          <w:szCs w:val="18"/>
        </w:rPr>
        <w:t>social network in which users provide the data and value to the product</w:t>
      </w:r>
      <w:r w:rsidRPr="003A3C18">
        <w:rPr>
          <w:sz w:val="18"/>
          <w:szCs w:val="18"/>
        </w:rPr>
        <w:t>. It is not intended or purposed nor has the functionality for creating, calendaring, and tracking information related to planned events occurring in an industry or profession where temporary vendors, employees or volunteers are required; computer software for communicating details regarding planned events to parties to the event, namely, buyers, event contacts, venue contacts and vendors; computer software for hiring and managing vendors or employees required for planned events; computer software for creating and sending contracts and event information to principal parties to the event</w:t>
      </w:r>
      <w:r w:rsidR="007F794E">
        <w:rPr>
          <w:sz w:val="18"/>
          <w:szCs w:val="18"/>
        </w:rPr>
        <w:t xml:space="preserve">, as is the </w:t>
      </w:r>
      <w:r w:rsidRPr="003A3C18">
        <w:rPr>
          <w:sz w:val="18"/>
          <w:szCs w:val="18"/>
        </w:rPr>
        <w:t xml:space="preserve"> Regist</w:t>
      </w:r>
      <w:r w:rsidR="007F794E">
        <w:rPr>
          <w:sz w:val="18"/>
          <w:szCs w:val="18"/>
        </w:rPr>
        <w:t>rant’s product. The Registrant’s product</w:t>
      </w:r>
      <w:r w:rsidRPr="003A3C18">
        <w:rPr>
          <w:sz w:val="18"/>
          <w:szCs w:val="18"/>
        </w:rPr>
        <w:t>, as defined by the preceding description/definition</w:t>
      </w:r>
      <w:r w:rsidR="007F794E">
        <w:rPr>
          <w:sz w:val="18"/>
          <w:szCs w:val="18"/>
        </w:rPr>
        <w:t xml:space="preserve"> by the Registrant</w:t>
      </w:r>
      <w:r w:rsidRPr="003A3C18">
        <w:rPr>
          <w:sz w:val="18"/>
          <w:szCs w:val="18"/>
        </w:rPr>
        <w:t>, is a business-to-business, enterprise software application that serves</w:t>
      </w:r>
      <w:r w:rsidR="007F794E">
        <w:rPr>
          <w:sz w:val="18"/>
          <w:szCs w:val="18"/>
        </w:rPr>
        <w:t xml:space="preserve"> business clientele specifically in the event and/or staffing industries…</w:t>
      </w:r>
      <w:r w:rsidRPr="003A3C18">
        <w:rPr>
          <w:sz w:val="18"/>
          <w:szCs w:val="18"/>
        </w:rPr>
        <w:t xml:space="preserve"> a wholly different, distinguishable </w:t>
      </w:r>
      <w:r w:rsidR="007F794E">
        <w:rPr>
          <w:sz w:val="18"/>
          <w:szCs w:val="18"/>
        </w:rPr>
        <w:t xml:space="preserve">product </w:t>
      </w:r>
      <w:r w:rsidRPr="003A3C18">
        <w:rPr>
          <w:sz w:val="18"/>
          <w:szCs w:val="18"/>
        </w:rPr>
        <w:t xml:space="preserve">from the Applicant’s.  </w:t>
      </w:r>
    </w:p>
    <w:p w:rsidR="00EB7B94" w:rsidRPr="003A3C18" w:rsidRDefault="00EB7B94" w:rsidP="00EB7B94">
      <w:pPr>
        <w:rPr>
          <w:b/>
          <w:sz w:val="18"/>
          <w:szCs w:val="18"/>
        </w:rPr>
      </w:pPr>
    </w:p>
    <w:p w:rsidR="00EB7B94" w:rsidRPr="003A3C18" w:rsidRDefault="00EB7B94" w:rsidP="00EB7B94">
      <w:pPr>
        <w:rPr>
          <w:b/>
          <w:sz w:val="18"/>
          <w:szCs w:val="18"/>
        </w:rPr>
      </w:pPr>
      <w:r w:rsidRPr="003A3C18">
        <w:rPr>
          <w:b/>
          <w:sz w:val="18"/>
          <w:szCs w:val="18"/>
        </w:rPr>
        <w:t>Dissimilarities of Industries</w:t>
      </w:r>
    </w:p>
    <w:p w:rsidR="00EB7B94" w:rsidRPr="003A3C18" w:rsidRDefault="00EB7B94" w:rsidP="00EB7B94">
      <w:pPr>
        <w:rPr>
          <w:sz w:val="18"/>
          <w:szCs w:val="18"/>
        </w:rPr>
      </w:pPr>
      <w:r w:rsidRPr="003A3C18">
        <w:rPr>
          <w:sz w:val="18"/>
          <w:szCs w:val="18"/>
        </w:rPr>
        <w:lastRenderedPageBreak/>
        <w:t>The Applicant and the Registrant operate in different, non-overlapping industries. It can be reasonably inferred from the Registrant’s description that the Registrant’s identified product is targeted to business and corporations in the event and/or staffing industries. The Applicant’s product targets and serves the general public and has no specific use or otherwise in the event and/or staffing industries.</w:t>
      </w:r>
    </w:p>
    <w:p w:rsidR="00EB7B94" w:rsidRPr="003A3C18" w:rsidRDefault="00EB7B94" w:rsidP="00EB7B94">
      <w:pPr>
        <w:rPr>
          <w:b/>
          <w:sz w:val="18"/>
          <w:szCs w:val="18"/>
        </w:rPr>
      </w:pPr>
    </w:p>
    <w:p w:rsidR="00EB7B94" w:rsidRPr="003A3C18" w:rsidRDefault="00EB7B94" w:rsidP="00EB7B94">
      <w:pPr>
        <w:rPr>
          <w:b/>
          <w:sz w:val="18"/>
          <w:szCs w:val="18"/>
        </w:rPr>
      </w:pPr>
      <w:r w:rsidRPr="003A3C18">
        <w:rPr>
          <w:b/>
          <w:sz w:val="18"/>
          <w:szCs w:val="18"/>
        </w:rPr>
        <w:t>Dissimilarities of Clientele</w:t>
      </w:r>
    </w:p>
    <w:p w:rsidR="00BB0D65" w:rsidRPr="003A3C18" w:rsidRDefault="00BB0D65" w:rsidP="00BB0D65">
      <w:pPr>
        <w:rPr>
          <w:sz w:val="18"/>
          <w:szCs w:val="18"/>
        </w:rPr>
      </w:pPr>
      <w:r w:rsidRPr="003A3C18">
        <w:rPr>
          <w:sz w:val="18"/>
          <w:szCs w:val="18"/>
        </w:rPr>
        <w:t>The Applicant’</w:t>
      </w:r>
      <w:r w:rsidR="000B0945">
        <w:rPr>
          <w:sz w:val="18"/>
          <w:szCs w:val="18"/>
        </w:rPr>
        <w:t xml:space="preserve">s clientele/target market/marketplace is the general public/consumer. The Registrant’s is a specific </w:t>
      </w:r>
      <w:r w:rsidRPr="003A3C18">
        <w:rPr>
          <w:sz w:val="18"/>
          <w:szCs w:val="18"/>
        </w:rPr>
        <w:t>business</w:t>
      </w:r>
      <w:r w:rsidR="000B0945">
        <w:rPr>
          <w:sz w:val="18"/>
          <w:szCs w:val="18"/>
        </w:rPr>
        <w:t xml:space="preserve"> and corporate client</w:t>
      </w:r>
      <w:r w:rsidRPr="003A3C18">
        <w:rPr>
          <w:sz w:val="18"/>
          <w:szCs w:val="18"/>
        </w:rPr>
        <w:t xml:space="preserve">. </w:t>
      </w:r>
      <w:r w:rsidR="000B0945">
        <w:rPr>
          <w:sz w:val="18"/>
          <w:szCs w:val="18"/>
        </w:rPr>
        <w:t>They are two different types of clientele in which there is no overlap</w:t>
      </w:r>
      <w:r w:rsidR="00F443E6">
        <w:rPr>
          <w:sz w:val="18"/>
          <w:szCs w:val="18"/>
        </w:rPr>
        <w:t xml:space="preserve"> therefore there are no likelihood of confusion based on serving the same clientele/marketplace. </w:t>
      </w:r>
    </w:p>
    <w:p w:rsidR="00EB7B94" w:rsidRPr="003A3C18" w:rsidRDefault="00EB7B94" w:rsidP="00EB7B94">
      <w:pPr>
        <w:rPr>
          <w:b/>
          <w:sz w:val="18"/>
          <w:szCs w:val="18"/>
        </w:rPr>
      </w:pPr>
    </w:p>
    <w:p w:rsidR="00EB7B94" w:rsidRPr="003A3C18" w:rsidRDefault="00EB7B94" w:rsidP="00EB7B94">
      <w:pPr>
        <w:rPr>
          <w:b/>
          <w:sz w:val="18"/>
          <w:szCs w:val="18"/>
        </w:rPr>
      </w:pPr>
      <w:r w:rsidRPr="003A3C18">
        <w:rPr>
          <w:b/>
          <w:sz w:val="18"/>
          <w:szCs w:val="18"/>
        </w:rPr>
        <w:t>Dissimilarities of Trade Channels</w:t>
      </w:r>
    </w:p>
    <w:p w:rsidR="007F794E" w:rsidRDefault="00BB0D65" w:rsidP="00BB0D65">
      <w:pPr>
        <w:rPr>
          <w:sz w:val="18"/>
          <w:szCs w:val="18"/>
        </w:rPr>
      </w:pPr>
      <w:r w:rsidRPr="003A3C18">
        <w:rPr>
          <w:sz w:val="18"/>
          <w:szCs w:val="18"/>
        </w:rPr>
        <w:t xml:space="preserve">The Applicant’s </w:t>
      </w:r>
      <w:r w:rsidR="007F794E">
        <w:rPr>
          <w:sz w:val="18"/>
          <w:szCs w:val="18"/>
        </w:rPr>
        <w:t>product is distributed exclusively through the mobile application trade channel</w:t>
      </w:r>
      <w:r w:rsidRPr="003A3C18">
        <w:rPr>
          <w:sz w:val="18"/>
          <w:szCs w:val="18"/>
        </w:rPr>
        <w:t xml:space="preserve"> – smartphones</w:t>
      </w:r>
      <w:r w:rsidR="007F794E">
        <w:rPr>
          <w:sz w:val="18"/>
          <w:szCs w:val="18"/>
        </w:rPr>
        <w:t xml:space="preserve"> specifically. While the R</w:t>
      </w:r>
      <w:r w:rsidRPr="003A3C18">
        <w:rPr>
          <w:sz w:val="18"/>
          <w:szCs w:val="18"/>
        </w:rPr>
        <w:t>egistra</w:t>
      </w:r>
      <w:r w:rsidR="007F794E">
        <w:rPr>
          <w:sz w:val="18"/>
          <w:szCs w:val="18"/>
        </w:rPr>
        <w:t>nt may also utilize the same trade channel to some degree, it is not delineated in its description and therefore cannot be assumed to be the same and only trade channel employed by the Registrant. The Registrant could utilize</w:t>
      </w:r>
      <w:r w:rsidR="00F07DB5">
        <w:rPr>
          <w:sz w:val="18"/>
          <w:szCs w:val="18"/>
        </w:rPr>
        <w:t xml:space="preserve"> a cloud service only accessed through a website; or it could install its product directly into its client’s computers. The Registrant’s trade channel is not clear whereas the Applicants is.</w:t>
      </w:r>
      <w:r w:rsidR="007F794E">
        <w:rPr>
          <w:sz w:val="18"/>
          <w:szCs w:val="18"/>
        </w:rPr>
        <w:t xml:space="preserve"> </w:t>
      </w:r>
    </w:p>
    <w:p w:rsidR="007F794E" w:rsidRDefault="007F794E" w:rsidP="00BB0D65">
      <w:pPr>
        <w:rPr>
          <w:sz w:val="18"/>
          <w:szCs w:val="18"/>
        </w:rPr>
      </w:pPr>
    </w:p>
    <w:p w:rsidR="00BB0D65" w:rsidRPr="003A3C18" w:rsidRDefault="00BB0D65" w:rsidP="00BB0D65">
      <w:pPr>
        <w:rPr>
          <w:sz w:val="18"/>
          <w:szCs w:val="18"/>
        </w:rPr>
      </w:pPr>
      <w:r w:rsidRPr="003A3C18">
        <w:rPr>
          <w:sz w:val="18"/>
          <w:szCs w:val="18"/>
        </w:rPr>
        <w:t>In today’s world a laptop or desktop computer is a different channel of trade than a smartphone or a tablet in as software programs and applications can be and are developed specifically for each channel. Obviously software can and is developed to apply to all channels simultaneously but each channel has its own parameters and requires different programming processes. Most mobile applications do not operate concurrently as websites/</w:t>
      </w:r>
      <w:r w:rsidR="006741EB" w:rsidRPr="003A3C18">
        <w:rPr>
          <w:sz w:val="18"/>
          <w:szCs w:val="18"/>
        </w:rPr>
        <w:t>i.e.</w:t>
      </w:r>
      <w:r w:rsidRPr="003A3C18">
        <w:rPr>
          <w:sz w:val="18"/>
          <w:szCs w:val="18"/>
        </w:rPr>
        <w:t xml:space="preserve"> on a la</w:t>
      </w:r>
      <w:r w:rsidR="00F07DB5">
        <w:rPr>
          <w:sz w:val="18"/>
          <w:szCs w:val="18"/>
        </w:rPr>
        <w:t>ptop/desktop computer. The</w:t>
      </w:r>
      <w:r w:rsidRPr="003A3C18">
        <w:rPr>
          <w:sz w:val="18"/>
          <w:szCs w:val="18"/>
        </w:rPr>
        <w:t xml:space="preserve"> intended and only channel of distribution </w:t>
      </w:r>
      <w:r w:rsidR="00F07DB5">
        <w:rPr>
          <w:sz w:val="18"/>
          <w:szCs w:val="18"/>
        </w:rPr>
        <w:t xml:space="preserve">of such applications </w:t>
      </w:r>
      <w:r w:rsidRPr="003A3C18">
        <w:rPr>
          <w:sz w:val="18"/>
          <w:szCs w:val="18"/>
        </w:rPr>
        <w:t xml:space="preserve">is through the mobile application devices, </w:t>
      </w:r>
      <w:r w:rsidR="006741EB" w:rsidRPr="003A3C18">
        <w:rPr>
          <w:sz w:val="18"/>
          <w:szCs w:val="18"/>
        </w:rPr>
        <w:t>i.e.</w:t>
      </w:r>
      <w:r w:rsidRPr="003A3C18">
        <w:rPr>
          <w:sz w:val="18"/>
          <w:szCs w:val="18"/>
        </w:rPr>
        <w:t xml:space="preserve"> smartphones</w:t>
      </w:r>
      <w:r w:rsidR="00F07DB5">
        <w:rPr>
          <w:sz w:val="18"/>
          <w:szCs w:val="18"/>
        </w:rPr>
        <w:t>, exclusively</w:t>
      </w:r>
      <w:r w:rsidRPr="003A3C18">
        <w:rPr>
          <w:sz w:val="18"/>
          <w:szCs w:val="18"/>
        </w:rPr>
        <w:t xml:space="preserve">. This distinguishes the Applicant’s channel of trade as it is specific to mobile application devices. The Registrant’s channel of trade is not defined and cannot be assumed to be the same. Based on these obvious and clear distinctions, the presumption that the identified goods travel in the same channels of trade to the same class of purchasers, as the EA has made, </w:t>
      </w:r>
      <w:r w:rsidR="000B0945">
        <w:rPr>
          <w:sz w:val="18"/>
          <w:szCs w:val="18"/>
        </w:rPr>
        <w:t xml:space="preserve">is incorrect </w:t>
      </w:r>
      <w:r w:rsidRPr="003A3C18">
        <w:rPr>
          <w:sz w:val="18"/>
          <w:szCs w:val="18"/>
        </w:rPr>
        <w:t>and should be withdrawn.</w:t>
      </w:r>
    </w:p>
    <w:p w:rsidR="00BB0D65" w:rsidRPr="003A3C18" w:rsidRDefault="00BB0D65" w:rsidP="00BB0D65">
      <w:pPr>
        <w:rPr>
          <w:sz w:val="18"/>
          <w:szCs w:val="18"/>
        </w:rPr>
      </w:pPr>
    </w:p>
    <w:p w:rsidR="00BB0D65" w:rsidRPr="003A3C18" w:rsidRDefault="00BB0D65" w:rsidP="00BB0D65">
      <w:pPr>
        <w:rPr>
          <w:sz w:val="18"/>
          <w:szCs w:val="18"/>
        </w:rPr>
      </w:pPr>
    </w:p>
    <w:p w:rsidR="0023113F" w:rsidRPr="003A3C18" w:rsidRDefault="0023113F" w:rsidP="00A4066C">
      <w:pPr>
        <w:rPr>
          <w:b/>
          <w:sz w:val="18"/>
          <w:szCs w:val="18"/>
        </w:rPr>
      </w:pPr>
      <w:r w:rsidRPr="003A3C18">
        <w:rPr>
          <w:b/>
          <w:sz w:val="18"/>
          <w:szCs w:val="18"/>
        </w:rPr>
        <w:t>Conclusion</w:t>
      </w:r>
    </w:p>
    <w:p w:rsidR="0023113F" w:rsidRPr="003A3C18" w:rsidRDefault="0023113F" w:rsidP="00A4066C">
      <w:pPr>
        <w:rPr>
          <w:sz w:val="18"/>
          <w:szCs w:val="18"/>
        </w:rPr>
      </w:pPr>
      <w:r w:rsidRPr="003A3C18">
        <w:rPr>
          <w:sz w:val="18"/>
          <w:szCs w:val="18"/>
        </w:rPr>
        <w:t xml:space="preserve">The </w:t>
      </w:r>
      <w:r w:rsidR="00AA59B4" w:rsidRPr="003A3C18">
        <w:rPr>
          <w:sz w:val="18"/>
          <w:szCs w:val="18"/>
        </w:rPr>
        <w:t>Applicant</w:t>
      </w:r>
      <w:r w:rsidR="00F07DB5">
        <w:rPr>
          <w:sz w:val="18"/>
          <w:szCs w:val="18"/>
        </w:rPr>
        <w:t>’s</w:t>
      </w:r>
      <w:r w:rsidR="00AA59B4" w:rsidRPr="003A3C18">
        <w:rPr>
          <w:sz w:val="18"/>
          <w:szCs w:val="18"/>
        </w:rPr>
        <w:t xml:space="preserve"> and Registrant’s </w:t>
      </w:r>
      <w:r w:rsidRPr="003A3C18">
        <w:rPr>
          <w:sz w:val="18"/>
          <w:szCs w:val="18"/>
        </w:rPr>
        <w:t>marks are only definitively similar in that each uses the le</w:t>
      </w:r>
      <w:r w:rsidR="00AA59B4" w:rsidRPr="003A3C18">
        <w:rPr>
          <w:sz w:val="18"/>
          <w:szCs w:val="18"/>
        </w:rPr>
        <w:t xml:space="preserve">tters p, p, and </w:t>
      </w:r>
      <w:r w:rsidR="00F07DB5">
        <w:rPr>
          <w:sz w:val="18"/>
          <w:szCs w:val="18"/>
        </w:rPr>
        <w:t>l; otherwise the Applicant ant’s and Registrant’s marks are distinctly different and non-confusing</w:t>
      </w:r>
      <w:r w:rsidR="00AA59B4" w:rsidRPr="003A3C18">
        <w:rPr>
          <w:sz w:val="18"/>
          <w:szCs w:val="18"/>
        </w:rPr>
        <w:t xml:space="preserve"> </w:t>
      </w:r>
      <w:r w:rsidR="00F07DB5">
        <w:rPr>
          <w:sz w:val="18"/>
          <w:szCs w:val="18"/>
        </w:rPr>
        <w:t xml:space="preserve">in dissimilarities in the marks themselves, and in the products offered, the industries operated in, the trade channels utilized, and the clientele served. Therefore </w:t>
      </w:r>
      <w:r w:rsidR="00AA59B4" w:rsidRPr="003A3C18">
        <w:rPr>
          <w:sz w:val="18"/>
          <w:szCs w:val="18"/>
        </w:rPr>
        <w:t>there is no</w:t>
      </w:r>
      <w:r w:rsidR="00D832A5" w:rsidRPr="003A3C18">
        <w:rPr>
          <w:sz w:val="18"/>
          <w:szCs w:val="18"/>
        </w:rPr>
        <w:t xml:space="preserve"> likelihood of confu</w:t>
      </w:r>
      <w:r w:rsidR="00F07DB5">
        <w:rPr>
          <w:sz w:val="18"/>
          <w:szCs w:val="18"/>
        </w:rPr>
        <w:t xml:space="preserve">sion of the marks by the public. </w:t>
      </w:r>
      <w:r w:rsidR="00D832A5" w:rsidRPr="003A3C18">
        <w:rPr>
          <w:sz w:val="18"/>
          <w:szCs w:val="18"/>
        </w:rPr>
        <w:t xml:space="preserve"> </w:t>
      </w:r>
    </w:p>
    <w:p w:rsidR="00004F20" w:rsidRPr="003A3C18" w:rsidRDefault="00004F20" w:rsidP="00A4066C">
      <w:pPr>
        <w:rPr>
          <w:sz w:val="18"/>
          <w:szCs w:val="18"/>
        </w:rPr>
      </w:pPr>
    </w:p>
    <w:p w:rsidR="005A637B" w:rsidRPr="003A3C18" w:rsidRDefault="005A637B" w:rsidP="00A4066C">
      <w:pPr>
        <w:rPr>
          <w:sz w:val="18"/>
          <w:szCs w:val="18"/>
        </w:rPr>
      </w:pPr>
    </w:p>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p w:rsidR="00D1180C" w:rsidRDefault="00D1180C" w:rsidP="00A4066C"/>
    <w:sectPr w:rsidR="00D1180C" w:rsidSect="003A3C18">
      <w:type w:val="continuous"/>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041D3A"/>
    <w:multiLevelType w:val="hybridMultilevel"/>
    <w:tmpl w:val="8A903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5856B5"/>
    <w:multiLevelType w:val="hybridMultilevel"/>
    <w:tmpl w:val="894A5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4066C"/>
    <w:rsid w:val="00004F20"/>
    <w:rsid w:val="00016592"/>
    <w:rsid w:val="000B0945"/>
    <w:rsid w:val="001179B0"/>
    <w:rsid w:val="001D6620"/>
    <w:rsid w:val="001F4394"/>
    <w:rsid w:val="0023113F"/>
    <w:rsid w:val="0024376A"/>
    <w:rsid w:val="0031692C"/>
    <w:rsid w:val="0038719E"/>
    <w:rsid w:val="003A3C18"/>
    <w:rsid w:val="003B2BC8"/>
    <w:rsid w:val="004F2FA6"/>
    <w:rsid w:val="005A637B"/>
    <w:rsid w:val="00634628"/>
    <w:rsid w:val="00665A11"/>
    <w:rsid w:val="006741EB"/>
    <w:rsid w:val="006F3E5D"/>
    <w:rsid w:val="00754ACF"/>
    <w:rsid w:val="007F794E"/>
    <w:rsid w:val="008A3895"/>
    <w:rsid w:val="009F780D"/>
    <w:rsid w:val="00A33D84"/>
    <w:rsid w:val="00A4066C"/>
    <w:rsid w:val="00AA59B4"/>
    <w:rsid w:val="00B212A3"/>
    <w:rsid w:val="00B66BE2"/>
    <w:rsid w:val="00BB0D65"/>
    <w:rsid w:val="00BB693B"/>
    <w:rsid w:val="00D1180C"/>
    <w:rsid w:val="00D26A56"/>
    <w:rsid w:val="00D832A5"/>
    <w:rsid w:val="00E05546"/>
    <w:rsid w:val="00EB7B94"/>
    <w:rsid w:val="00EE3386"/>
    <w:rsid w:val="00EE5B51"/>
    <w:rsid w:val="00F07DB5"/>
    <w:rsid w:val="00F443E6"/>
    <w:rsid w:val="00F54D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B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066C"/>
    <w:pPr>
      <w:ind w:left="720"/>
      <w:contextualSpacing/>
    </w:pPr>
  </w:style>
  <w:style w:type="character" w:customStyle="1" w:styleId="illustration">
    <w:name w:val="illustration"/>
    <w:basedOn w:val="DefaultParagraphFont"/>
    <w:rsid w:val="00016592"/>
  </w:style>
  <w:style w:type="character" w:styleId="Hyperlink">
    <w:name w:val="Hyperlink"/>
    <w:basedOn w:val="DefaultParagraphFont"/>
    <w:uiPriority w:val="99"/>
    <w:unhideWhenUsed/>
    <w:rsid w:val="00BB693B"/>
    <w:rPr>
      <w:color w:val="0000FF"/>
      <w:u w:val="single"/>
    </w:rPr>
  </w:style>
</w:styles>
</file>

<file path=word/webSettings.xml><?xml version="1.0" encoding="utf-8"?>
<w:webSettings xmlns:r="http://schemas.openxmlformats.org/officeDocument/2006/relationships" xmlns:w="http://schemas.openxmlformats.org/wordprocessingml/2006/main">
  <w:divs>
    <w:div w:id="1270042611">
      <w:bodyDiv w:val="1"/>
      <w:marLeft w:val="0"/>
      <w:marRight w:val="0"/>
      <w:marTop w:val="0"/>
      <w:marBottom w:val="0"/>
      <w:divBdr>
        <w:top w:val="none" w:sz="0" w:space="0" w:color="auto"/>
        <w:left w:val="none" w:sz="0" w:space="0" w:color="auto"/>
        <w:bottom w:val="none" w:sz="0" w:space="0" w:color="auto"/>
        <w:right w:val="none" w:sz="0" w:space="0" w:color="auto"/>
      </w:divBdr>
    </w:div>
    <w:div w:id="169712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2AC4BEC-FAA7-42E6-AB13-56E059B64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4</Pages>
  <Words>2376</Words>
  <Characters>13545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14</cp:revision>
  <cp:lastPrinted>2018-02-27T15:47:00Z</cp:lastPrinted>
  <dcterms:created xsi:type="dcterms:W3CDTF">2018-02-27T03:03:00Z</dcterms:created>
  <dcterms:modified xsi:type="dcterms:W3CDTF">2018-02-28T22:34:00Z</dcterms:modified>
</cp:coreProperties>
</file>