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80"/>
        <w:jc w:val="center"/>
      </w:pPr>
      <w:r>
        <w:rPr>
          <w:rFonts w:ascii="Arial" w:cs="Arial" w:eastAsia="Arial" w:hAnsi="Arial"/>
          <w:b/>
          <w:bCs/>
          <w:color w:val="0D2E6E"/>
          <w:sz w:val="120"/>
          <w:szCs w:val="120"/>
        </w:rPr>
        <w:t xml:space="preserve">Peepl</w:t>
      </w:r>
    </w:p>
    <w:p>
      <w:pPr>
        <w:spacing w:before="0" w:after="200"/>
        <w:jc w:val="center"/>
      </w:pPr>
      <w:r>
        <w:rPr>
          <w:rFonts w:ascii="Arial" w:cs="Arial" w:eastAsia="Arial" w:hAnsi="Arial"/>
          <w:color w:val="6B6B6B"/>
          <w:sz w:val="40"/>
          <w:szCs w:val="40"/>
        </w:rPr>
        <w:t xml:space="preserve">Master Strategic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E6E" w:val="clear"/>
            <w:tcMar>
              <w:top w:type="dxa" w:w="180"/>
              <w:left w:type="dxa" w:w="280"/>
              <w:bottom w:type="dxa" w:w="180"/>
              <w:right w:type="dxa" w:w="280"/>
            </w:tcMar>
          </w:tcPr>
          <w:p>
            <w:pPr>
              <w:jc w:val="center"/>
            </w:pPr>
            <w:r>
              <w:rPr>
                <w:rFonts w:ascii="Arial" w:cs="Arial" w:eastAsia="Arial" w:hAnsi="Arial"/>
                <w:color w:val="FFFFFF"/>
                <w:sz w:val="20"/>
                <w:szCs w:val="20"/>
              </w:rPr>
              <w:t xml:space="preserve">Product Architecture  |  Monetization  |  Revenue &amp; Valuation  |  Entity Structure  |  Tax Planning  |  Wealth Protection  |  Operations</w:t>
            </w:r>
          </w:p>
        </w:tc>
      </w:tr>
    </w:tbl>
    <w:p>
      <w:pPr>
        <w:spacing w:before="200" w:after="0"/>
      </w:pPr>
    </w:p>
    <w:p>
      <w:pPr>
        <w:spacing w:before="0" w:after="0"/>
        <w:jc w:val="center"/>
      </w:pPr>
      <w:r>
        <w:rPr>
          <w:rFonts w:ascii="Arial" w:cs="Arial" w:eastAsia="Arial" w:hAnsi="Arial"/>
          <w:color w:val="6B6B6B"/>
          <w:sz w:val="20"/>
          <w:szCs w:val="20"/>
        </w:rPr>
        <w:t xml:space="preserve">Prepared March 2026  |  Strictly Confidential</w:t>
      </w:r>
    </w:p>
    <w:p>
      <w:pPr>
        <w:spacing w:before="2000" w:after="0"/>
      </w:pPr>
    </w:p>
    <w:p>
      <w:r>
        <w:br w:type="page"/>
      </w:r>
    </w:p>
    <w:p>
      <w:pPr>
        <w:pStyle w:val="Heading1"/>
        <w:spacing w:before="360" w:after="120"/>
      </w:pPr>
      <w:r>
        <w:rPr>
          <w:rFonts w:ascii="Arial" w:cs="Arial" w:eastAsia="Arial" w:hAnsi="Arial"/>
          <w:b/>
          <w:bCs/>
          <w:color w:val="0D2E6E"/>
          <w:sz w:val="36"/>
          <w:szCs w:val="36"/>
        </w:rPr>
        <w:t xml:space="preserve">Section 1 — The Product: What Peepl Is</w:t>
      </w:r>
    </w:p>
    <w:p>
      <w:pPr>
        <w:pBdr>
          <w:bottom w:val="single" w:color="0D2E6E" w:sz="6" w:space="1"/>
        </w:pBdr>
        <w:spacing w:before="0" w:after="180"/>
      </w:pPr>
    </w:p>
    <w:p>
      <w:pPr>
        <w:spacing w:before="60" w:after="100"/>
      </w:pPr>
      <w:r>
        <w:rPr>
          <w:rFonts w:ascii="Arial" w:cs="Arial" w:eastAsia="Arial" w:hAnsi="Arial"/>
          <w:color w:val="2D2D2D"/>
          <w:sz w:val="22"/>
          <w:szCs w:val="22"/>
        </w:rPr>
        <w:t xml:space="preserve">Peepl is a real-time crowd intelligence utility. Users report live conditions at any venue or location — crowd size, vibe, wait times, demographic composition, noise level, staff availability, dress code, and active deals — giving other users actionable intelligence before they decide where to go. The product delivers value to a single user, alone, in the moment.</w:t>
      </w:r>
    </w:p>
    <w:p>
      <w:pPr>
        <w:spacing w:before="80" w:after="0"/>
      </w:pPr>
    </w:p>
    <w:p>
      <w:pPr>
        <w:spacing w:before="60" w:after="100"/>
      </w:pPr>
      <w:r>
        <w:rPr>
          <w:rFonts w:ascii="Arial" w:cs="Arial" w:eastAsia="Arial" w:hAnsi="Arial"/>
          <w:color w:val="2D2D2D"/>
          <w:sz w:val="22"/>
          <w:szCs w:val="22"/>
        </w:rPr>
        <w:t xml:space="preserve">This utility-first architecture distinguishes Peepl from social networks in a fundamental way. Social networks require reciprocal engagement to deliver value. Peepl delivers value the first time a user opens it, whether or not anyone they know uses the product. That is the foundation of its retention model and the reason its growth trajectory more closely resembles Waze or GasBuddy than Facebook or Instagram.</w:t>
      </w:r>
    </w:p>
    <w:p>
      <w:pPr>
        <w:spacing w:before="120" w:after="0"/>
      </w:pPr>
    </w:p>
    <w:p>
      <w:pPr>
        <w:pStyle w:val="Heading2"/>
        <w:spacing w:before="260" w:after="100"/>
      </w:pPr>
      <w:r>
        <w:rPr>
          <w:rFonts w:ascii="Arial" w:cs="Arial" w:eastAsia="Arial" w:hAnsi="Arial"/>
          <w:b/>
          <w:bCs/>
          <w:color w:val="1565C0"/>
          <w:sz w:val="28"/>
          <w:szCs w:val="28"/>
        </w:rPr>
        <w:t xml:space="preserve">Core Mechanics</w:t>
      </w:r>
    </w:p>
    <w:p>
      <w:pPr>
        <w:pStyle w:val="ListParagraph"/>
        <w:numPr>
          <w:ilvl w:val="0"/>
          <w:numId w:val="2"/>
        </w:numPr>
        <w:spacing w:before="40" w:after="60"/>
      </w:pPr>
      <w:r>
        <w:rPr>
          <w:rFonts w:ascii="Arial" w:cs="Arial" w:eastAsia="Arial" w:hAnsi="Arial"/>
          <w:color w:val="2D2D2D"/>
          <w:sz w:val="22"/>
          <w:szCs w:val="22"/>
        </w:rPr>
        <w:t xml:space="preserve">Geofence auto-trigger — when a user enters a venue, a push notification fires prompting a 10-second post. Venue is pre-filled. Crowd slider is the only required field. All other fields optional. The content-generation engine runs without deliberate user effort.</w:t>
      </w:r>
    </w:p>
    <w:p>
      <w:pPr>
        <w:pStyle w:val="ListParagraph"/>
        <w:numPr>
          <w:ilvl w:val="0"/>
          <w:numId w:val="2"/>
        </w:numPr>
        <w:spacing w:before="40" w:after="60"/>
      </w:pPr>
      <w:r>
        <w:rPr>
          <w:rFonts w:ascii="Arial" w:cs="Arial" w:eastAsia="Arial" w:hAnsi="Arial"/>
          <w:color w:val="2D2D2D"/>
          <w:sz w:val="22"/>
          <w:szCs w:val="22"/>
        </w:rPr>
        <w:t xml:space="preserve">Pioneer mechanic — first users to report on a venue in a new city earn permanent Pioneer status, a badge, and leaderboard placement. Creates identity investment that drives retention without virality.</w:t>
      </w:r>
    </w:p>
    <w:p>
      <w:pPr>
        <w:pStyle w:val="ListParagraph"/>
        <w:numPr>
          <w:ilvl w:val="0"/>
          <w:numId w:val="2"/>
        </w:numPr>
        <w:spacing w:before="40" w:after="60"/>
      </w:pPr>
      <w:r>
        <w:rPr>
          <w:rFonts w:ascii="Arial" w:cs="Arial" w:eastAsia="Arial" w:hAnsi="Arial"/>
          <w:color w:val="2D2D2D"/>
          <w:sz w:val="22"/>
          <w:szCs w:val="22"/>
        </w:rPr>
        <w:t xml:space="preserve">Self-serve merchant portal — local businesses purchase time-slotted promotional placements directly. No sales team required. Merchant ROI is directly measurable through foot traffic correlation.</w:t>
      </w:r>
    </w:p>
    <w:p>
      <w:pPr>
        <w:pStyle w:val="ListParagraph"/>
        <w:numPr>
          <w:ilvl w:val="0"/>
          <w:numId w:val="2"/>
        </w:numPr>
        <w:spacing w:before="40" w:after="60"/>
      </w:pPr>
      <w:r>
        <w:rPr>
          <w:rFonts w:ascii="Arial" w:cs="Arial" w:eastAsia="Arial" w:hAnsi="Arial"/>
          <w:color w:val="2D2D2D"/>
          <w:sz w:val="22"/>
          <w:szCs w:val="22"/>
        </w:rPr>
        <w:t xml:space="preserve">Native ad feed — sponsored cards injected every two posts, served programmatically through major DSP networks. High-intent local audience commands above-average CPMs.</w:t>
      </w:r>
    </w:p>
    <w:p>
      <w:pPr>
        <w:spacing w:before="120" w:after="0"/>
      </w:pPr>
    </w:p>
    <w:p>
      <w:pPr>
        <w:pStyle w:val="Heading2"/>
        <w:spacing w:before="260" w:after="100"/>
      </w:pPr>
      <w:r>
        <w:rPr>
          <w:rFonts w:ascii="Arial" w:cs="Arial" w:eastAsia="Arial" w:hAnsi="Arial"/>
          <w:b/>
          <w:bCs/>
          <w:color w:val="1565C0"/>
          <w:sz w:val="28"/>
          <w:szCs w:val="28"/>
        </w:rPr>
        <w:t xml:space="preserve">Universal Positioning — Everywhere You Go</w:t>
      </w:r>
    </w:p>
    <w:p>
      <w:pPr>
        <w:spacing w:before="60" w:after="100"/>
      </w:pPr>
      <w:r>
        <w:rPr>
          <w:rFonts w:ascii="Arial" w:cs="Arial" w:eastAsia="Arial" w:hAnsi="Arial"/>
          <w:color w:val="2D2D2D"/>
          <w:sz w:val="22"/>
          <w:szCs w:val="22"/>
        </w:rPr>
        <w:t xml:space="preserve">Peepl is not a bar and restaurant app. It is a universal crowd intelligence layer that works at every location a person visits — grocery stores, pharmacies, gyms, airports, urgent care facilities, national parks, theme parks, stadiums, government offices, trails, beaches. The positioning decision made at launch determines the product's ceiling.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2E6E" w:val="clear"/>
            <w:tcMar>
              <w:top w:type="dxa" w:w="0"/>
              <w:left w:type="dxa" w:w="0"/>
              <w:bottom w:type="dxa" w:w="0"/>
              <w:right w:type="dxa" w:w="0"/>
            </w:tcMar>
          </w:tcPr>
          <w:p/>
        </w:tc>
        <w:tc>
          <w:tcPr>
            <w:tcW w:type="dxa" w:w="9120"/>
            <w:tcBorders>
              <w:top w:val="none" w:color="FFFFFF" w:sz="0"/>
              <w:left w:val="none" w:color="FFFFFF" w:sz="0"/>
              <w:bottom w:val="none" w:color="FFFFFF" w:sz="0"/>
              <w:right w:val="none" w:color="FFFFFF" w:sz="0"/>
            </w:tcBorders>
            <w:shd w:fill="E8F0FD" w:val="clear"/>
            <w:tcMar>
              <w:top w:type="dxa" w:w="160"/>
              <w:left w:type="dxa" w:w="220"/>
              <w:bottom w:type="dxa" w:w="160"/>
              <w:right w:type="dxa" w:w="220"/>
            </w:tcMar>
          </w:tcPr>
          <w:p>
            <w:r>
              <w:rPr>
                <w:rFonts w:ascii="Arial" w:cs="Arial" w:eastAsia="Arial" w:hAnsi="Arial"/>
                <w:color w:val="0D2E6E"/>
                <w:sz w:val="22"/>
                <w:szCs w:val="22"/>
              </w:rPr>
              <w:t xml:space="preserve">A bar app user opens Peepl 1-2 times per week. A universal utility user opens it 5-7 times per week. Same product. Same infrastructure. DAU/MAU ratio moves from 40% to 62%. Sessions per week move from 4 to 7. That engagement shift alone drives a 257% increase in programmatic revenue before any other assumption changes.</w:t>
            </w:r>
          </w:p>
        </w:tc>
      </w:tr>
    </w:tbl>
    <w:p>
      <w:pPr>
        <w:spacing w:before="80" w:after="0"/>
      </w:pPr>
    </w:p>
    <w:p>
      <w:pPr>
        <w:spacing w:before="60" w:after="100"/>
      </w:pPr>
      <w:r>
        <w:rPr>
          <w:rFonts w:ascii="Arial" w:cs="Arial" w:eastAsia="Arial" w:hAnsi="Arial"/>
          <w:color w:val="2D2D2D"/>
          <w:sz w:val="22"/>
          <w:szCs w:val="22"/>
        </w:rPr>
        <w:t xml:space="preserve">The venue universe under universal positioning expands from 5% of MAU (F&amp;B only) to 18% of MAU — every local business where crowd conditions affect the decision to visit. Grocery chains, pharmacies, retail, fitness studios, and healthcare providers all become merchant advertisers. Their average transaction value and advertising budgets dwarf a bar's.</w:t>
      </w:r>
    </w:p>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2 — Monetization Channels</w:t>
      </w:r>
    </w:p>
    <w:p>
      <w:pPr>
        <w:pBdr>
          <w:bottom w:val="single" w:color="0D2E6E" w:sz="6" w:space="1"/>
        </w:pBdr>
        <w:spacing w:before="0" w:after="180"/>
      </w:pPr>
    </w:p>
    <w:p>
      <w:pPr>
        <w:spacing w:before="60" w:after="100"/>
      </w:pPr>
      <w:r>
        <w:rPr>
          <w:rFonts w:ascii="Arial" w:cs="Arial" w:eastAsia="Arial" w:hAnsi="Arial"/>
          <w:color w:val="2D2D2D"/>
          <w:sz w:val="22"/>
          <w:szCs w:val="22"/>
        </w:rPr>
        <w:t xml:space="preserve">Peepl monetizes across six discrete channels that activate in sequence as the user base grows. No single channel dominates at scale. The diversification is a structural asset — it changes how acquirers categorize the business and directly increases the acquisition multiple.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560"/>
        <w:gridCol w:w="2400"/>
      </w:tblGrid>
      <w:tr>
        <w:tc>
          <w:tcPr>
            <w:tcW w:type="dxa" w:w="28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Channel</w:t>
            </w:r>
          </w:p>
        </w:tc>
        <w:tc>
          <w:tcPr>
            <w:tcW w:type="dxa" w:w="26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Mechanism</w:t>
            </w:r>
          </w:p>
        </w:tc>
        <w:tc>
          <w:tcPr>
            <w:tcW w:type="dxa" w:w="15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Activates At</w:t>
            </w:r>
          </w:p>
        </w:tc>
        <w:tc>
          <w:tcPr>
            <w:tcW w:type="dxa" w:w="24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Revenue @ 100M MAU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 Programmatic Ads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CPM-based native feed ads via DSP networks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Day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$2.9B/yr</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 Merchant Self-Serve</w:t>
            </w:r>
          </w:p>
        </w:tc>
        <w:tc>
          <w:tcPr>
            <w:tcW w:type="dxa" w:w="2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Time-slotted local deal placements</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Day 1</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$3.5B/yr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 VIPeeps Subscription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$4.99/mo premium tier — ad-free + advanced tools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Day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$540M/yr</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 Travel Intent Premium</w:t>
            </w:r>
          </w:p>
        </w:tc>
        <w:tc>
          <w:tcPr>
            <w:tcW w:type="dxa" w:w="2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Premium CPM inventory for out-of-town users</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~100K MAU</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$900M/yr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 B2B Data Licensing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Enterprise crowd intelligence annual contracts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~500K MAU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$490M/yr</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6. Events &amp; Partnerships</w:t>
            </w:r>
          </w:p>
        </w:tc>
        <w:tc>
          <w:tcPr>
            <w:tcW w:type="dxa" w:w="2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Sponsored launches, event activations, licensing</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~1M MAU</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$160M/yr</w:t>
            </w:r>
          </w:p>
        </w:tc>
      </w:tr>
    </w:tbl>
    <w:p>
      <w:pPr>
        <w:spacing w:before="120" w:after="0"/>
      </w:pPr>
    </w:p>
    <w:p>
      <w:pPr>
        <w:pStyle w:val="Heading2"/>
        <w:spacing w:before="260" w:after="100"/>
      </w:pPr>
      <w:r>
        <w:rPr>
          <w:rFonts w:ascii="Arial" w:cs="Arial" w:eastAsia="Arial" w:hAnsi="Arial"/>
          <w:b/>
          <w:bCs/>
          <w:color w:val="1565C0"/>
          <w:sz w:val="28"/>
          <w:szCs w:val="28"/>
        </w:rPr>
        <w:t xml:space="preserve">Channel 1 — Programmatic Native Advertising</w:t>
      </w:r>
    </w:p>
    <w:p>
      <w:pPr>
        <w:spacing w:before="60" w:after="100"/>
      </w:pPr>
      <w:r>
        <w:rPr>
          <w:rFonts w:ascii="Arial" w:cs="Arial" w:eastAsia="Arial" w:hAnsi="Arial"/>
          <w:color w:val="2D2D2D"/>
          <w:sz w:val="22"/>
          <w:szCs w:val="22"/>
        </w:rPr>
        <w:t xml:space="preserve">High-intent local users — actively deciding where to go right now — command CPMs of $10-33 across MAU stages, materially above the $2-6 blended rate for passive social media audiences. This is peer to Waze ($10-20) and Yelp ($10-22). At 62% DAU with 7 sessions per week under universal positioning, annual impressions at 100M MAU reach 24.9 billion. At $33 blended CPM the programmatic channel alone generates $2.9B annually.</w:t>
      </w:r>
    </w:p>
    <w:p>
      <w:pPr>
        <w:spacing w:before="80" w:after="0"/>
      </w:pPr>
    </w:p>
    <w:p>
      <w:pPr>
        <w:pStyle w:val="Heading2"/>
        <w:spacing w:before="260" w:after="100"/>
      </w:pPr>
      <w:r>
        <w:rPr>
          <w:rFonts w:ascii="Arial" w:cs="Arial" w:eastAsia="Arial" w:hAnsi="Arial"/>
          <w:b/>
          <w:bCs/>
          <w:color w:val="1565C0"/>
          <w:sz w:val="28"/>
          <w:szCs w:val="28"/>
        </w:rPr>
        <w:t xml:space="preserve">Channel 2 — Self-Serve Merchant Advertising</w:t>
      </w:r>
    </w:p>
    <w:p>
      <w:pPr>
        <w:spacing w:before="60" w:after="100"/>
      </w:pPr>
      <w:r>
        <w:rPr>
          <w:rFonts w:ascii="Arial" w:cs="Arial" w:eastAsia="Arial" w:hAnsi="Arial"/>
          <w:color w:val="2D2D2D"/>
          <w:sz w:val="22"/>
          <w:szCs w:val="22"/>
        </w:rPr>
        <w:t xml:space="preserve">The most strategically differentiated channel. Merchants purchase time-slotted placements through a self-serve portal with no sales team required. Pricing ranges from $10/hr for standard weekday slots to $75/hr for Friday-Saturday peak. Average mature merchant spend: $480-960/month. At 100M MAU with 18% of MAU as the venue universe and 5% merchant penetration, 50,000+ active merchants generate $3.5B annually. Google paid $1.65B for Waze with zero merchant revenue. This channel fundamentally changes the acquisition conversation.</w:t>
      </w:r>
    </w:p>
    <w:p>
      <w:pPr>
        <w:spacing w:before="80" w:after="0"/>
      </w:pPr>
    </w:p>
    <w:p>
      <w:pPr>
        <w:pStyle w:val="Heading2"/>
        <w:spacing w:before="260" w:after="100"/>
      </w:pPr>
      <w:r>
        <w:rPr>
          <w:rFonts w:ascii="Arial" w:cs="Arial" w:eastAsia="Arial" w:hAnsi="Arial"/>
          <w:b/>
          <w:bCs/>
          <w:color w:val="1565C0"/>
          <w:sz w:val="28"/>
          <w:szCs w:val="28"/>
        </w:rPr>
        <w:t xml:space="preserve">Channel 3 — VIPeeps Subscription</w:t>
      </w:r>
    </w:p>
    <w:p>
      <w:pPr>
        <w:spacing w:before="60" w:after="100"/>
      </w:pPr>
      <w:r>
        <w:rPr>
          <w:rFonts w:ascii="Arial" w:cs="Arial" w:eastAsia="Arial" w:hAnsi="Arial"/>
          <w:color w:val="2D2D2D"/>
          <w:sz w:val="22"/>
          <w:szCs w:val="22"/>
        </w:rPr>
        <w:t xml:space="preserve">$4.99/month premium tier. Features: advanced crowd filters, 24-hour crowd history graphs, crowd trend signals, deal alerts, ad-free experience, Pioneer early access, saved search profiles. Conversion target: 1.5% at 100K MAU growing to 9% at 100M MAU under universal positioning — benchmarked to Duolingo Plus (7-9%) and Waze Carpool (4-5%). This channel converts the business from ad platform to SaaS platform in an acquirer's categorization, directly increasing the acquisition multiple.</w:t>
      </w:r>
    </w:p>
    <w:p>
      <w:pPr>
        <w:spacing w:before="80" w:after="0"/>
      </w:pPr>
    </w:p>
    <w:p>
      <w:pPr>
        <w:pStyle w:val="Heading2"/>
        <w:spacing w:before="260" w:after="100"/>
      </w:pPr>
      <w:r>
        <w:rPr>
          <w:rFonts w:ascii="Arial" w:cs="Arial" w:eastAsia="Arial" w:hAnsi="Arial"/>
          <w:b/>
          <w:bCs/>
          <w:color w:val="1565C0"/>
          <w:sz w:val="28"/>
          <w:szCs w:val="28"/>
        </w:rPr>
        <w:t xml:space="preserve">Channel 4 — Travel Intent Premium Inventory</w:t>
      </w:r>
    </w:p>
    <w:p>
      <w:pPr>
        <w:spacing w:before="60" w:after="100"/>
      </w:pPr>
      <w:r>
        <w:rPr>
          <w:rFonts w:ascii="Arial" w:cs="Arial" w:eastAsia="Arial" w:hAnsi="Arial"/>
          <w:color w:val="2D2D2D"/>
          <w:sz w:val="22"/>
          <w:szCs w:val="22"/>
        </w:rPr>
        <w:t xml:space="preserve">Users in a non-home city are identified via GPS mismatch with historical location data. Their impressions are served from a separate premium inventory pool at $22-44 CPM — 3-5x standard rates — sold to hotels, airlines, tourism boards, and travel platforms. At 100M MAU with 10% of users traveling at any time, travel impressions generate $900M annually. Booking Holdings spends $5B+ on digital advertising annually. At scale this inventory is sold via direct insertion orders, not programmatic.</w:t>
      </w:r>
    </w:p>
    <w:p>
      <w:pPr>
        <w:spacing w:before="80" w:after="0"/>
      </w:pPr>
    </w:p>
    <w:p>
      <w:pPr>
        <w:pStyle w:val="Heading2"/>
        <w:spacing w:before="260" w:after="100"/>
      </w:pPr>
      <w:r>
        <w:rPr>
          <w:rFonts w:ascii="Arial" w:cs="Arial" w:eastAsia="Arial" w:hAnsi="Arial"/>
          <w:b/>
          <w:bCs/>
          <w:color w:val="1565C0"/>
          <w:sz w:val="28"/>
          <w:szCs w:val="28"/>
        </w:rPr>
        <w:t xml:space="preserve">Channel 5 — B2B Crowd Intelligence Data</w:t>
      </w:r>
    </w:p>
    <w:p>
      <w:pPr>
        <w:spacing w:before="60" w:after="100"/>
      </w:pPr>
      <w:r>
        <w:rPr>
          <w:rFonts w:ascii="Arial" w:cs="Arial" w:eastAsia="Arial" w:hAnsi="Arial"/>
          <w:color w:val="2D2D2D"/>
          <w:sz w:val="22"/>
          <w:szCs w:val="22"/>
        </w:rPr>
        <w:t xml:space="preserve">Every peep contributes to a proprietary dataset: real-time and historical crowd levels, demographic composition, vibe data, noise levels, wait times, by venue, time, and day. This dataset cannot be purchased or replicated — it can only be built one peep at a time over years. Enterprise buyers include commercial real estate developers ($8-25K/month), municipal governments ($4-12K/month), hospital systems, retail chains, transportation authorities, and academic institutions. At 100M MAU with years of historical data the B2B channel generates $490M annually at near-zero marginal cost.</w:t>
      </w:r>
    </w:p>
    <w:p>
      <w:pPr>
        <w:spacing w:before="80" w:after="0"/>
      </w:pPr>
    </w:p>
    <w:p>
      <w:pPr>
        <w:pStyle w:val="Heading2"/>
        <w:spacing w:before="260" w:after="100"/>
      </w:pPr>
      <w:r>
        <w:rPr>
          <w:rFonts w:ascii="Arial" w:cs="Arial" w:eastAsia="Arial" w:hAnsi="Arial"/>
          <w:b/>
          <w:bCs/>
          <w:color w:val="1565C0"/>
          <w:sz w:val="28"/>
          <w:szCs w:val="28"/>
        </w:rPr>
        <w:t xml:space="preserve">Channel 6 — Events and Partnerships</w:t>
      </w:r>
    </w:p>
    <w:p>
      <w:pPr>
        <w:spacing w:before="60" w:after="100"/>
      </w:pPr>
      <w:r>
        <w:rPr>
          <w:rFonts w:ascii="Arial" w:cs="Arial" w:eastAsia="Arial" w:hAnsi="Arial"/>
          <w:color w:val="2D2D2D"/>
          <w:sz w:val="22"/>
          <w:szCs w:val="22"/>
        </w:rPr>
        <w:t xml:space="preserve">Major event organizers pay $150K-500K for Peepl integration providing attendees real-time crowd flow data and organizers live density analytics. Sponsored Pioneer programs — brands co-presenting new city launches — generate $25-75K per city. International market licensing at 15% of local revenue. Combined: $160M annually at 100M MAU, growing to $1B+ at 500M MAU.</w:t>
      </w:r>
    </w:p>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3 — Revenue Projections</w:t>
      </w:r>
    </w:p>
    <w:p>
      <w:pPr>
        <w:pBdr>
          <w:bottom w:val="single" w:color="0D2E6E" w:sz="6" w:space="1"/>
        </w:pBdr>
        <w:spacing w:before="0" w:after="180"/>
      </w:pPr>
    </w:p>
    <w:p>
      <w:pPr>
        <w:spacing w:before="60" w:after="100"/>
      </w:pPr>
      <w:r>
        <w:rPr>
          <w:rFonts w:ascii="Arial" w:cs="Arial" w:eastAsia="Arial" w:hAnsi="Arial"/>
          <w:color w:val="2D2D2D"/>
          <w:sz w:val="22"/>
          <w:szCs w:val="22"/>
        </w:rPr>
        <w:t xml:space="preserve">Revenue is modeled under two scenarios: the F&amp;B-focused model reflecting nightlife and restaurant use cases, and the Universal model reflecting the full everywhere-you-go positioning. Both are conservative relative to the product's potential. The universal model is the accurate representation of the product being built and should be used in all acquisition conversations.</w:t>
      </w:r>
    </w:p>
    <w:p>
      <w:pPr>
        <w:spacing w:before="120" w:after="0"/>
      </w:pPr>
    </w:p>
    <w:p>
      <w:pPr>
        <w:pStyle w:val="Heading2"/>
        <w:spacing w:before="260" w:after="100"/>
      </w:pPr>
      <w:r>
        <w:rPr>
          <w:rFonts w:ascii="Arial" w:cs="Arial" w:eastAsia="Arial" w:hAnsi="Arial"/>
          <w:b/>
          <w:bCs/>
          <w:color w:val="1565C0"/>
          <w:sz w:val="28"/>
          <w:szCs w:val="28"/>
        </w:rPr>
        <w:t xml:space="preserve">Universal Model — Annual Revenue by MAU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80"/>
      </w:tblGrid>
      <w:tr>
        <w:tc>
          <w:tcPr>
            <w:tcW w:type="dxa" w:w="1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MAU</w:t>
            </w:r>
          </w:p>
        </w:tc>
        <w:tc>
          <w:tcPr>
            <w:tcW w:type="dxa" w:w="1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Programmatic</w:t>
            </w:r>
          </w:p>
        </w:tc>
        <w:tc>
          <w:tcPr>
            <w:tcW w:type="dxa" w:w="1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Merchant</w:t>
            </w:r>
          </w:p>
        </w:tc>
        <w:tc>
          <w:tcPr>
            <w:tcW w:type="dxa" w:w="1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Subscription</w:t>
            </w:r>
          </w:p>
        </w:tc>
        <w:tc>
          <w:tcPr>
            <w:tcW w:type="dxa" w:w="1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Travel</w:t>
            </w:r>
          </w:p>
        </w:tc>
        <w:tc>
          <w:tcPr>
            <w:tcW w:type="dxa" w:w="1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B2B</w:t>
            </w:r>
          </w:p>
        </w:tc>
        <w:tc>
          <w:tcPr>
            <w:tcW w:type="dxa" w:w="1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Events</w:t>
            </w:r>
          </w:p>
        </w:tc>
        <w:tc>
          <w:tcPr>
            <w:tcW w:type="dxa" w:w="108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w:t>
            </w:r>
          </w:p>
        </w:tc>
      </w:tr>
      <w:tr>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100K</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$26M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$0.3M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$0.6M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$30M</w:t>
            </w:r>
          </w:p>
        </w:tc>
      </w:tr>
      <w:tr>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250K</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$64M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$8M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$0.7M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$1.5M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$74M</w:t>
            </w:r>
          </w:p>
        </w:tc>
      </w:tr>
      <w:tr>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500K</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$133M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$16M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$1.4M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$3.2M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$0.14M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$154M</w:t>
            </w:r>
          </w:p>
        </w:tc>
      </w:tr>
      <w:tr>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$257M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$36M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$3.2M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$7.8M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$0.52M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$305M</w:t>
            </w:r>
          </w:p>
        </w:tc>
      </w:tr>
      <w:tr>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$1.1B</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$276M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$24M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$59M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$4.2M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$1.5M</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$1.46B</w:t>
            </w:r>
          </w:p>
        </w:tc>
      </w:tr>
      <w:tr>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10M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$2.3B</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$614M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$54M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$139M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$21M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$8.5M</w:t>
            </w:r>
          </w:p>
        </w:tc>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$3.1B</w:t>
            </w:r>
          </w:p>
        </w:tc>
      </w:tr>
      <w:tr>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25M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$5.4B</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$1.6B</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$162M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$340M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$77M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$28M</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$7.6B</w:t>
            </w:r>
          </w:p>
        </w:tc>
      </w:tr>
      <w:tr>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50M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$11.5B</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$3.7B</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$373M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$793M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$228M</w:t>
            </w:r>
          </w:p>
        </w:tc>
        <w:tc>
          <w:tcPr>
            <w:tcW w:type="dxa" w:w="1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$72M</w:t>
            </w:r>
          </w:p>
        </w:tc>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$16.7B</w:t>
            </w:r>
          </w:p>
        </w:tc>
      </w:tr>
      <w:tr>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100M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$23.6B</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$7.9B</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$817M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$1.7B</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$490M</w:t>
            </w:r>
          </w:p>
        </w:tc>
        <w:tc>
          <w:tcPr>
            <w:tcW w:type="dxa" w:w="1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$160M</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$34.7B</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2E6E" w:val="clear"/>
            <w:tcMar>
              <w:top w:type="dxa" w:w="0"/>
              <w:left w:type="dxa" w:w="0"/>
              <w:bottom w:type="dxa" w:w="0"/>
              <w:right w:type="dxa" w:w="0"/>
            </w:tcMar>
          </w:tcPr>
          <w:p/>
        </w:tc>
        <w:tc>
          <w:tcPr>
            <w:tcW w:type="dxa" w:w="9120"/>
            <w:tcBorders>
              <w:top w:val="none" w:color="FFFFFF" w:sz="0"/>
              <w:left w:val="none" w:color="FFFFFF" w:sz="0"/>
              <w:bottom w:val="none" w:color="FFFFFF" w:sz="0"/>
              <w:right w:val="none" w:color="FFFFFF" w:sz="0"/>
            </w:tcBorders>
            <w:shd w:fill="E8F0FD" w:val="clear"/>
            <w:tcMar>
              <w:top w:type="dxa" w:w="160"/>
              <w:left w:type="dxa" w:w="220"/>
              <w:bottom w:type="dxa" w:w="160"/>
              <w:right w:type="dxa" w:w="220"/>
            </w:tcMar>
          </w:tcPr>
          <w:p>
            <w:r>
              <w:rPr>
                <w:rFonts w:ascii="Arial" w:cs="Arial" w:eastAsia="Arial" w:hAnsi="Arial"/>
                <w:color w:val="0D2E6E"/>
                <w:sz w:val="22"/>
                <w:szCs w:val="22"/>
              </w:rPr>
              <w:t xml:space="preserve">At 10M MAU, annual revenue exceeds $3B. At 50M MAU it approaches $17B. At 100M MAU the universal model produces $34.7B annually — making Peepl one of the largest revenue-generating consumer platforms on earth at that scale.</w:t>
            </w:r>
          </w:p>
        </w:tc>
      </w:tr>
    </w:tbl>
    <w:p>
      <w:pPr>
        <w:spacing w:before="120" w:after="0"/>
      </w:pPr>
    </w:p>
    <w:p>
      <w:pPr>
        <w:pStyle w:val="Heading2"/>
        <w:spacing w:before="260" w:after="100"/>
      </w:pPr>
      <w:r>
        <w:rPr>
          <w:rFonts w:ascii="Arial" w:cs="Arial" w:eastAsia="Arial" w:hAnsi="Arial"/>
          <w:b/>
          <w:bCs/>
          <w:color w:val="1565C0"/>
          <w:sz w:val="28"/>
          <w:szCs w:val="28"/>
        </w:rPr>
        <w:t xml:space="preserve">Post-Acquisition Revenue — Acquirer Distribution Effect</w:t>
      </w:r>
    </w:p>
    <w:p>
      <w:pPr>
        <w:spacing w:before="60" w:after="100"/>
      </w:pPr>
      <w:r>
        <w:rPr>
          <w:rFonts w:ascii="Arial" w:cs="Arial" w:eastAsia="Arial" w:hAnsi="Arial"/>
          <w:color w:val="2D2D2D"/>
          <w:sz w:val="22"/>
          <w:szCs w:val="22"/>
        </w:rPr>
        <w:t xml:space="preserve">When acquired, the buyer's existing distribution infrastructure — Google Maps' 1B users, Apple's 1.5B devices, Meta's 3B users — injects Peepl into a platform that already reaches hundreds of millions of people. MAU growth to 250M and 500M is not a 5-year organic project. It is a 2-3 year integration project.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Stage</w:t>
            </w:r>
          </w:p>
        </w:tc>
        <w:tc>
          <w:tcPr>
            <w:tcW w:type="dxa" w:w="20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MAU</w:t>
            </w:r>
          </w:p>
        </w:tc>
        <w:tc>
          <w:tcPr>
            <w:tcW w:type="dxa" w:w="25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Annual Revenue</w:t>
            </w:r>
          </w:p>
        </w:tc>
        <w:tc>
          <w:tcPr>
            <w:tcW w:type="dxa" w:w="24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Asset Value @ 15x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At sale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100M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$7.5B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$112B</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Post-acq Year 2-3</w:t>
            </w:r>
          </w:p>
        </w:tc>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250M</w:t>
            </w:r>
          </w:p>
        </w:tc>
        <w:tc>
          <w:tcPr>
            <w:tcW w:type="dxa" w:w="2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$20.3B</w:t>
            </w:r>
          </w:p>
        </w:tc>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$304B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Full integration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500M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$50.5B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$757B</w:t>
            </w:r>
          </w:p>
        </w:tc>
      </w:tr>
    </w:tbl>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4 — Valuation &amp; Exit Strategy</w:t>
      </w:r>
    </w:p>
    <w:p>
      <w:pPr>
        <w:pBdr>
          <w:bottom w:val="single" w:color="0D2E6E" w:sz="6" w:space="1"/>
        </w:pBdr>
        <w:spacing w:before="0" w:after="180"/>
      </w:pPr>
    </w:p>
    <w:p>
      <w:pPr>
        <w:pStyle w:val="Heading2"/>
        <w:spacing w:before="260" w:after="100"/>
      </w:pPr>
      <w:r>
        <w:rPr>
          <w:rFonts w:ascii="Arial" w:cs="Arial" w:eastAsia="Arial" w:hAnsi="Arial"/>
          <w:b/>
          <w:bCs/>
          <w:color w:val="1565C0"/>
          <w:sz w:val="28"/>
          <w:szCs w:val="28"/>
        </w:rPr>
        <w:t xml:space="preserve">Acquisition Valuation at 100M MAU</w:t>
      </w:r>
    </w:p>
    <w:p>
      <w:pPr>
        <w:spacing w:before="60" w:after="100"/>
      </w:pPr>
      <w:r>
        <w:rPr>
          <w:rFonts w:ascii="Arial" w:cs="Arial" w:eastAsia="Arial" w:hAnsi="Arial"/>
          <w:color w:val="2D2D2D"/>
          <w:sz w:val="22"/>
          <w:szCs w:val="22"/>
        </w:rPr>
        <w:t xml:space="preserve">Platform businesses with proprietary data assets, subscription revenue, and marketplace components trade at 12-22x revenue at acquisition. Peepl's combination of all three, plus a data moat that cannot be replicated, positions the business at the high end of that range.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120"/>
        <w:gridCol w:w="1280"/>
        <w:gridCol w:w="2640"/>
      </w:tblGrid>
      <w:tr>
        <w:tc>
          <w:tcPr>
            <w:tcW w:type="dxa" w:w="288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Scenario</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Revenue Base</w:t>
            </w:r>
          </w:p>
        </w:tc>
        <w:tc>
          <w:tcPr>
            <w:tcW w:type="dxa" w:w="112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Multiple</w:t>
            </w:r>
          </w:p>
        </w:tc>
        <w:tc>
          <w:tcPr>
            <w:tcW w:type="dxa" w:w="128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Exit Value</w:t>
            </w:r>
          </w:p>
        </w:tc>
        <w:tc>
          <w:tcPr>
            <w:tcW w:type="dxa" w:w="26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Floor — walk away number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$7.5B</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12x</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$90B</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Accept nothing below this</w:t>
            </w:r>
          </w:p>
        </w:tc>
      </w:tr>
      <w:tr>
        <w:tc>
          <w:tcPr>
            <w:tcW w:type="dxa" w:w="28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Target — competitive process</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$7.5B</w:t>
            </w:r>
          </w:p>
        </w:tc>
        <w:tc>
          <w:tcPr>
            <w:tcW w:type="dxa" w:w="1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15x</w:t>
            </w:r>
          </w:p>
        </w:tc>
        <w:tc>
          <w:tcPr>
            <w:tcW w:type="dxa" w:w="12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$112B</w:t>
            </w:r>
          </w:p>
        </w:tc>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Achievable with 2+ bidders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Strong — full tension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$7.5B</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18x</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$135B</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Google vs. Apple vs. Meta</w:t>
            </w:r>
          </w:p>
        </w:tc>
      </w:tr>
      <w:tr>
        <w:tc>
          <w:tcPr>
            <w:tcW w:type="dxa" w:w="28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Exceptional — bidding war</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$7.5B</w:t>
            </w:r>
          </w:p>
        </w:tc>
        <w:tc>
          <w:tcPr>
            <w:tcW w:type="dxa" w:w="1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22x</w:t>
            </w:r>
          </w:p>
        </w:tc>
        <w:tc>
          <w:tcPr>
            <w:tcW w:type="dxa" w:w="12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$165B</w:t>
            </w:r>
          </w:p>
        </w:tc>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WhatsApp/Instagram precedent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Upside-framed buyer ask</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$20.3B</w:t>
            </w:r>
          </w:p>
        </w:tc>
        <w:tc>
          <w:tcPr>
            <w:tcW w:type="dxa" w:w="1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10x</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$203B</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10x their Year 3 revenue</w:t>
            </w:r>
          </w:p>
        </w:tc>
      </w:tr>
    </w:tbl>
    <w:p>
      <w:pPr>
        <w:spacing w:before="120" w:after="0"/>
      </w:pPr>
    </w:p>
    <w:p>
      <w:pPr>
        <w:pStyle w:val="Heading2"/>
        <w:spacing w:before="260" w:after="100"/>
      </w:pPr>
      <w:r>
        <w:rPr>
          <w:rFonts w:ascii="Arial" w:cs="Arial" w:eastAsia="Arial" w:hAnsi="Arial"/>
          <w:b/>
          <w:bCs/>
          <w:color w:val="1565C0"/>
          <w:sz w:val="28"/>
          <w:szCs w:val="28"/>
        </w:rPr>
        <w:t xml:space="preserve">Strategic Acquirer Landscape</w:t>
      </w:r>
    </w:p>
    <w:p>
      <w:pPr>
        <w:pStyle w:val="ListParagraph"/>
        <w:numPr>
          <w:ilvl w:val="0"/>
          <w:numId w:val="3"/>
        </w:numPr>
        <w:spacing w:before="40" w:after="60"/>
      </w:pPr>
      <w:r>
        <w:rPr>
          <w:rFonts w:ascii="Arial" w:cs="Arial" w:eastAsia="Arial" w:hAnsi="Arial"/>
          <w:color w:val="2D2D2D"/>
          <w:sz w:val="22"/>
          <w:szCs w:val="22"/>
        </w:rPr>
        <w:t xml:space="preserve">Google / Alphabet — Paid $1.65B for Waze with zero merchant revenue. Peepl fills the single biggest gap in Google Maps — real-time human crowd intelligence. Pre-installing on Android reaches 3B devices. Estimated offer range: $25B-$45B.</w:t>
      </w:r>
    </w:p>
    <w:p>
      <w:pPr>
        <w:pStyle w:val="ListParagraph"/>
        <w:numPr>
          <w:ilvl w:val="0"/>
          <w:numId w:val="3"/>
        </w:numPr>
        <w:spacing w:before="40" w:after="60"/>
      </w:pPr>
      <w:r>
        <w:rPr>
          <w:rFonts w:ascii="Arial" w:cs="Arial" w:eastAsia="Arial" w:hAnsi="Arial"/>
          <w:color w:val="2D2D2D"/>
          <w:sz w:val="22"/>
          <w:szCs w:val="22"/>
        </w:rPr>
        <w:t xml:space="preserve">Apple — Aggressively building Apple Maps with $1B+ annual investment. Peepl's crowd data is the exact differentiation Apple Maps lacks. $160B+ in cash. Exclusivity premium likely. Range: $30B-$55B.</w:t>
      </w:r>
    </w:p>
    <w:p>
      <w:pPr>
        <w:pStyle w:val="ListParagraph"/>
        <w:numPr>
          <w:ilvl w:val="0"/>
          <w:numId w:val="3"/>
        </w:numPr>
        <w:spacing w:before="40" w:after="60"/>
      </w:pPr>
      <w:r>
        <w:rPr>
          <w:rFonts w:ascii="Arial" w:cs="Arial" w:eastAsia="Arial" w:hAnsi="Arial"/>
          <w:color w:val="2D2D2D"/>
          <w:sz w:val="22"/>
          <w:szCs w:val="22"/>
        </w:rPr>
        <w:t xml:space="preserve">Meta — 3B users but zero real-world utility. Peepl provides the local commerce layer Meta has failed to build three times. The merchant marketplace threatens Meta's local ad revenue directly. Range: $20B-$38B.</w:t>
      </w:r>
    </w:p>
    <w:p>
      <w:pPr>
        <w:pStyle w:val="ListParagraph"/>
        <w:numPr>
          <w:ilvl w:val="0"/>
          <w:numId w:val="3"/>
        </w:numPr>
        <w:spacing w:before="40" w:after="60"/>
      </w:pPr>
      <w:r>
        <w:rPr>
          <w:rFonts w:ascii="Arial" w:cs="Arial" w:eastAsia="Arial" w:hAnsi="Arial"/>
          <w:color w:val="2D2D2D"/>
          <w:sz w:val="22"/>
          <w:szCs w:val="22"/>
        </w:rPr>
        <w:t xml:space="preserve">Booking Holdings / Expedia — Travel intent inventory alone justifies acquisition. They spend $5B+ annually in digital advertising. Owning the in-destination decision platform eliminates that cost center. Range: $12B-$22B.</w:t>
      </w:r>
    </w:p>
    <w:p>
      <w:pPr>
        <w:pStyle w:val="ListParagraph"/>
        <w:numPr>
          <w:ilvl w:val="0"/>
          <w:numId w:val="3"/>
        </w:numPr>
        <w:spacing w:before="40" w:after="60"/>
      </w:pPr>
      <w:r>
        <w:rPr>
          <w:rFonts w:ascii="Arial" w:cs="Arial" w:eastAsia="Arial" w:hAnsi="Arial"/>
          <w:color w:val="2D2D2D"/>
          <w:sz w:val="22"/>
          <w:szCs w:val="22"/>
        </w:rPr>
        <w:t xml:space="preserve">ByteDance / TikTok — Building a local commerce layer. Peepl's self-serve merchant marketplace is 3-5 years ahead of what ByteDance could build organically. Range: $8B-$20B.</w:t>
      </w:r>
    </w:p>
    <w:p>
      <w:pPr>
        <w:spacing w:before="120" w:after="0"/>
      </w:pPr>
    </w:p>
    <w:p>
      <w:pPr>
        <w:pStyle w:val="Heading2"/>
        <w:spacing w:before="260" w:after="100"/>
      </w:pPr>
      <w:r>
        <w:rPr>
          <w:rFonts w:ascii="Arial" w:cs="Arial" w:eastAsia="Arial" w:hAnsi="Arial"/>
          <w:b/>
          <w:bCs/>
          <w:color w:val="1565C0"/>
          <w:sz w:val="28"/>
          <w:szCs w:val="28"/>
        </w:rPr>
        <w:t xml:space="preserve">The Seller's Negotiating Position</w:t>
      </w:r>
    </w:p>
    <w:p>
      <w:pPr>
        <w:spacing w:before="60" w:after="100"/>
      </w:pPr>
      <w:r>
        <w:rPr>
          <w:rFonts w:ascii="Arial" w:cs="Arial" w:eastAsia="Arial" w:hAnsi="Arial"/>
          <w:color w:val="2D2D2D"/>
          <w:sz w:val="22"/>
          <w:szCs w:val="22"/>
        </w:rPr>
        <w:t xml:space="preserve">The correct negotiating frame is not what Peepl is worth today. It is what Peepl is worth in the buyer's hands. At 250M MAU in Year 3 post-acquisition, Peepl generates $20.3B annually. Ten times that number is $203B. The negotiation should be conducted against that figure, not against current revenue.</w:t>
      </w:r>
    </w:p>
    <w:p>
      <w:pPr>
        <w:spacing w:before="80" w:after="0"/>
      </w:pPr>
    </w:p>
    <w:p>
      <w:pPr>
        <w:spacing w:before="60" w:after="100"/>
      </w:pPr>
      <w:r>
        <w:rPr>
          <w:rFonts w:ascii="Arial" w:cs="Arial" w:eastAsia="Arial" w:hAnsi="Arial"/>
          <w:color w:val="2D2D2D"/>
          <w:sz w:val="22"/>
          <w:szCs w:val="22"/>
        </w:rPr>
        <w:t xml:space="preserve">Three non-negotiable conditions: cash at close (no earnouts, no stock, no tranches), a number reflecting acquirer upside not current revenue, and a deadline that is real because the seller genuinely does not need the deal.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2E6E" w:val="clear"/>
            <w:tcMar>
              <w:top w:type="dxa" w:w="0"/>
              <w:left w:type="dxa" w:w="0"/>
              <w:bottom w:type="dxa" w:w="0"/>
              <w:right w:type="dxa" w:w="0"/>
            </w:tcMar>
          </w:tcPr>
          <w:p/>
        </w:tc>
        <w:tc>
          <w:tcPr>
            <w:tcW w:type="dxa" w:w="9120"/>
            <w:tcBorders>
              <w:top w:val="none" w:color="FFFFFF" w:sz="0"/>
              <w:left w:val="none" w:color="FFFFFF" w:sz="0"/>
              <w:bottom w:val="none" w:color="FFFFFF" w:sz="0"/>
              <w:right w:val="none" w:color="FFFFFF" w:sz="0"/>
            </w:tcBorders>
            <w:shd w:fill="FFFBEA" w:val="clear"/>
            <w:tcMar>
              <w:top w:type="dxa" w:w="160"/>
              <w:left w:type="dxa" w:w="220"/>
              <w:bottom w:type="dxa" w:w="160"/>
              <w:right w:type="dxa" w:w="220"/>
            </w:tcMar>
          </w:tcPr>
          <w:p>
            <w:r>
              <w:rPr>
                <w:rFonts w:ascii="Arial" w:cs="Arial" w:eastAsia="Arial" w:hAnsi="Arial"/>
                <w:color w:val="B8860B"/>
                <w:sz w:val="22"/>
                <w:szCs w:val="22"/>
              </w:rPr>
              <w:t xml:space="preserve">The WhatsApp precedent: $19B acquisition with zero revenue. Peepl at 100M MAU with $7.5B in diversified revenue, a proprietary global crowd dataset, and a self-serve merchant marketplace generating $3.5B annually is a fundamentally more valuable acquisition. The base-case exit at $112B is the floor of a competitive process, not the ceiling.</w:t>
            </w:r>
          </w:p>
        </w:tc>
      </w:tr>
    </w:tbl>
    <w:p>
      <w:pPr>
        <w:spacing w:before="80" w:after="0"/>
      </w:pPr>
    </w:p>
    <w:p>
      <w:pPr>
        <w:pStyle w:val="Heading2"/>
        <w:spacing w:before="260" w:after="100"/>
      </w:pPr>
      <w:r>
        <w:rPr>
          <w:rFonts w:ascii="Arial" w:cs="Arial" w:eastAsia="Arial" w:hAnsi="Arial"/>
          <w:b/>
          <w:bCs/>
          <w:color w:val="1565C0"/>
          <w:sz w:val="28"/>
          <w:szCs w:val="28"/>
        </w:rPr>
        <w:t xml:space="preserve">Post-100M Growth — The Buyer's Upside</w:t>
      </w:r>
    </w:p>
    <w:p>
      <w:pPr>
        <w:spacing w:before="60" w:after="100"/>
      </w:pPr>
      <w:r>
        <w:rPr>
          <w:rFonts w:ascii="Arial" w:cs="Arial" w:eastAsia="Arial" w:hAnsi="Arial"/>
          <w:color w:val="2D2D2D"/>
          <w:sz w:val="22"/>
          <w:szCs w:val="22"/>
        </w:rPr>
        <w:t xml:space="preserve">The acquisition does not have to make Peepl grow. It is already growing. The geofence trigger generates content automatically. The merchant portal processes its own transactions. The Pioneer mechanic seeds new cities. The data archive deepens every day. An acquirer who does nothing post-close still holds an asset that organically grows to $15B+ in annual revenue within four years. The buyer is acquiring Peepl on the ascent, at the bottom of its steepest curve. That is what justifies above-market acquisition pricing.</w:t>
      </w:r>
    </w:p>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5 — Growth Strategy: Stealth &amp; Timeline</w:t>
      </w:r>
    </w:p>
    <w:p>
      <w:pPr>
        <w:pBdr>
          <w:bottom w:val="single" w:color="0D2E6E" w:sz="6" w:space="1"/>
        </w:pBdr>
        <w:spacing w:before="0" w:after="180"/>
      </w:pPr>
    </w:p>
    <w:p>
      <w:pPr>
        <w:pStyle w:val="Heading2"/>
        <w:spacing w:before="260" w:after="100"/>
      </w:pPr>
      <w:r>
        <w:rPr>
          <w:rFonts w:ascii="Arial" w:cs="Arial" w:eastAsia="Arial" w:hAnsi="Arial"/>
          <w:b/>
          <w:bCs/>
          <w:color w:val="1565C0"/>
          <w:sz w:val="28"/>
          <w:szCs w:val="28"/>
        </w:rPr>
        <w:t xml:space="preserve">The Stealth Doctrine</w:t>
      </w:r>
    </w:p>
    <w:p>
      <w:pPr>
        <w:spacing w:before="60" w:after="100"/>
      </w:pPr>
      <w:r>
        <w:rPr>
          <w:rFonts w:ascii="Arial" w:cs="Arial" w:eastAsia="Arial" w:hAnsi="Arial"/>
          <w:color w:val="2D2D2D"/>
          <w:sz w:val="22"/>
          <w:szCs w:val="22"/>
        </w:rPr>
        <w:t xml:space="preserve">The strategic goal is to be indispensable before anyone knows Peepl exists. Every major tech company that could compete — Google, Meta, Yelp — can build a version of Peepl in 18 months if they decide to. The objective is to ensure that by the time they decide to, Peepl already has 3-5 years of irreplaceable crowd data, an established merchant network, and 10-25M users who rely on it daily. At that point a clone does not solve their problem.</w:t>
      </w:r>
    </w:p>
    <w:p>
      <w:pPr>
        <w:spacing w:before="80" w:after="0"/>
      </w:pPr>
    </w:p>
    <w:p>
      <w:pPr>
        <w:pStyle w:val="Heading2"/>
        <w:spacing w:before="260" w:after="100"/>
      </w:pPr>
      <w:r>
        <w:rPr>
          <w:rFonts w:ascii="Arial" w:cs="Arial" w:eastAsia="Arial" w:hAnsi="Arial"/>
          <w:b/>
          <w:bCs/>
          <w:color w:val="1565C0"/>
          <w:sz w:val="28"/>
          <w:szCs w:val="28"/>
        </w:rPr>
        <w:t xml:space="preserve">Ten Rules of Stealth Growth</w:t>
      </w:r>
    </w:p>
    <w:p>
      <w:pPr>
        <w:pStyle w:val="ListParagraph"/>
        <w:numPr>
          <w:ilvl w:val="0"/>
          <w:numId w:val="4"/>
        </w:numPr>
        <w:spacing w:before="50" w:after="60"/>
      </w:pPr>
      <w:r>
        <w:rPr>
          <w:rFonts w:ascii="Arial" w:cs="Arial" w:eastAsia="Arial" w:hAnsi="Arial"/>
          <w:color w:val="2D2D2D"/>
          <w:sz w:val="22"/>
          <w:szCs w:val="22"/>
        </w:rPr>
        <w:t xml:space="preserve">No press releases, ever. A press release is a competitive intelligence document.</w:t>
      </w:r>
    </w:p>
    <w:p>
      <w:pPr>
        <w:pStyle w:val="ListParagraph"/>
        <w:numPr>
          <w:ilvl w:val="0"/>
          <w:numId w:val="4"/>
        </w:numPr>
        <w:spacing w:before="50" w:after="60"/>
      </w:pPr>
      <w:r>
        <w:rPr>
          <w:rFonts w:ascii="Arial" w:cs="Arial" w:eastAsia="Arial" w:hAnsi="Arial"/>
          <w:color w:val="2D2D2D"/>
          <w:sz w:val="22"/>
          <w:szCs w:val="22"/>
        </w:rPr>
        <w:t xml:space="preserve">No Product Hunt, no TechCrunch launch. These are VC-visibility events.</w:t>
      </w:r>
    </w:p>
    <w:p>
      <w:pPr>
        <w:pStyle w:val="ListParagraph"/>
        <w:numPr>
          <w:ilvl w:val="0"/>
          <w:numId w:val="4"/>
        </w:numPr>
        <w:spacing w:before="50" w:after="60"/>
      </w:pPr>
      <w:r>
        <w:rPr>
          <w:rFonts w:ascii="Arial" w:cs="Arial" w:eastAsia="Arial" w:hAnsi="Arial"/>
          <w:color w:val="2D2D2D"/>
          <w:sz w:val="22"/>
          <w:szCs w:val="22"/>
        </w:rPr>
        <w:t xml:space="preserve">No job postings that reveal strategy. Hire through networks, not public listings.</w:t>
      </w:r>
    </w:p>
    <w:p>
      <w:pPr>
        <w:pStyle w:val="ListParagraph"/>
        <w:numPr>
          <w:ilvl w:val="0"/>
          <w:numId w:val="4"/>
        </w:numPr>
        <w:spacing w:before="50" w:after="60"/>
      </w:pPr>
      <w:r>
        <w:rPr>
          <w:rFonts w:ascii="Arial" w:cs="Arial" w:eastAsia="Arial" w:hAnsi="Arial"/>
          <w:color w:val="2D2D2D"/>
          <w:sz w:val="22"/>
          <w:szCs w:val="22"/>
        </w:rPr>
        <w:t xml:space="preserve">No pitch decks outside trusted relationships. Every pitch deck is a leak.</w:t>
      </w:r>
    </w:p>
    <w:p>
      <w:pPr>
        <w:pStyle w:val="ListParagraph"/>
        <w:numPr>
          <w:ilvl w:val="0"/>
          <w:numId w:val="4"/>
        </w:numPr>
        <w:spacing w:before="50" w:after="60"/>
      </w:pPr>
      <w:r>
        <w:rPr>
          <w:rFonts w:ascii="Arial" w:cs="Arial" w:eastAsia="Arial" w:hAnsi="Arial"/>
          <w:color w:val="2D2D2D"/>
          <w:sz w:val="22"/>
          <w:szCs w:val="22"/>
        </w:rPr>
        <w:t xml:space="preserve">Merchant onboarding is local and quiet. One city at a time, direct outreach.</w:t>
      </w:r>
    </w:p>
    <w:p>
      <w:pPr>
        <w:pStyle w:val="ListParagraph"/>
        <w:numPr>
          <w:ilvl w:val="0"/>
          <w:numId w:val="4"/>
        </w:numPr>
        <w:spacing w:before="50" w:after="60"/>
      </w:pPr>
      <w:r>
        <w:rPr>
          <w:rFonts w:ascii="Arial" w:cs="Arial" w:eastAsia="Arial" w:hAnsi="Arial"/>
          <w:color w:val="2D2D2D"/>
          <w:sz w:val="22"/>
          <w:szCs w:val="22"/>
        </w:rPr>
        <w:t xml:space="preserve">Let the product do the talking. The only marketing that matters is word of mouth.</w:t>
      </w:r>
    </w:p>
    <w:p>
      <w:pPr>
        <w:pStyle w:val="ListParagraph"/>
        <w:numPr>
          <w:ilvl w:val="0"/>
          <w:numId w:val="4"/>
        </w:numPr>
        <w:spacing w:before="50" w:after="60"/>
      </w:pPr>
      <w:r>
        <w:rPr>
          <w:rFonts w:ascii="Arial" w:cs="Arial" w:eastAsia="Arial" w:hAnsi="Arial"/>
          <w:color w:val="2D2D2D"/>
          <w:sz w:val="22"/>
          <w:szCs w:val="22"/>
        </w:rPr>
        <w:t xml:space="preserve">Pioneer status is exclusive, not public. A loyalty mechanic, not a PR mechanic.</w:t>
      </w:r>
    </w:p>
    <w:p>
      <w:pPr>
        <w:pStyle w:val="ListParagraph"/>
        <w:numPr>
          <w:ilvl w:val="0"/>
          <w:numId w:val="4"/>
        </w:numPr>
        <w:spacing w:before="50" w:after="60"/>
      </w:pPr>
      <w:r>
        <w:rPr>
          <w:rFonts w:ascii="Arial" w:cs="Arial" w:eastAsia="Arial" w:hAnsi="Arial"/>
          <w:color w:val="2D2D2D"/>
          <w:sz w:val="22"/>
          <w:szCs w:val="22"/>
        </w:rPr>
        <w:t xml:space="preserve">No API access until you choose to grant it. Proprietary data stays proprietary.</w:t>
      </w:r>
    </w:p>
    <w:p>
      <w:pPr>
        <w:pStyle w:val="ListParagraph"/>
        <w:numPr>
          <w:ilvl w:val="0"/>
          <w:numId w:val="4"/>
        </w:numPr>
        <w:spacing w:before="50" w:after="60"/>
      </w:pPr>
      <w:r>
        <w:rPr>
          <w:rFonts w:ascii="Arial" w:cs="Arial" w:eastAsia="Arial" w:hAnsi="Arial"/>
          <w:color w:val="2D2D2D"/>
          <w:sz w:val="22"/>
          <w:szCs w:val="22"/>
        </w:rPr>
        <w:t xml:space="preserve">City launches are soft launches. No announcement. Let users discover it.</w:t>
      </w:r>
    </w:p>
    <w:p>
      <w:pPr>
        <w:pStyle w:val="ListParagraph"/>
        <w:numPr>
          <w:ilvl w:val="0"/>
          <w:numId w:val="4"/>
        </w:numPr>
        <w:spacing w:before="50" w:after="60"/>
      </w:pPr>
      <w:r>
        <w:rPr>
          <w:rFonts w:ascii="Arial" w:cs="Arial" w:eastAsia="Arial" w:hAnsi="Arial"/>
          <w:color w:val="2D2D2D"/>
          <w:sz w:val="22"/>
          <w:szCs w:val="22"/>
        </w:rPr>
        <w:t xml:space="preserve">Silence on acquisition inquiries. Any acknowledgment confirms what they suspect.</w:t>
      </w:r>
    </w:p>
    <w:p>
      <w:pPr>
        <w:spacing w:before="120" w:after="0"/>
      </w:pPr>
    </w:p>
    <w:p>
      <w:pPr>
        <w:pStyle w:val="Heading2"/>
        <w:spacing w:before="260" w:after="100"/>
      </w:pPr>
      <w:r>
        <w:rPr>
          <w:rFonts w:ascii="Arial" w:cs="Arial" w:eastAsia="Arial" w:hAnsi="Arial"/>
          <w:b/>
          <w:bCs/>
          <w:color w:val="1565C0"/>
          <w:sz w:val="28"/>
          <w:szCs w:val="28"/>
        </w:rPr>
        <w:t xml:space="preserve">Time to 100M MAU — Platform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760"/>
        <w:gridCol w:w="1200"/>
        <w:gridCol w:w="1320"/>
        <w:gridCol w:w="1200"/>
        <w:gridCol w:w="2560"/>
      </w:tblGrid>
      <w:tr>
        <w:tc>
          <w:tcPr>
            <w:tcW w:type="dxa" w:w="132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Platform</w:t>
            </w:r>
          </w:p>
        </w:tc>
        <w:tc>
          <w:tcPr>
            <w:tcW w:type="dxa" w:w="17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Years to 50M</w:t>
            </w:r>
          </w:p>
        </w:tc>
        <w:tc>
          <w:tcPr>
            <w:tcW w:type="dxa" w:w="132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Years to 100M</w:t>
            </w:r>
          </w:p>
        </w:tc>
        <w:tc>
          <w:tcPr>
            <w:tcW w:type="dxa" w:w="12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Peepl Similarity</w:t>
            </w:r>
          </w:p>
        </w:tc>
        <w:tc>
          <w:tcPr>
            <w:tcW w:type="dxa" w:w="25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Waze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Navigation utility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 years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N/A (acquired)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Closest structural comp. Organic city-by-city. Zero paid acquisition.</w:t>
            </w:r>
          </w:p>
        </w:tc>
      </w:tr>
      <w:tr>
        <w:tc>
          <w:tcPr>
            <w:tcW w:type="dxa" w:w="1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GasBuddy</w:t>
            </w:r>
          </w:p>
        </w:tc>
        <w:tc>
          <w:tcPr>
            <w:tcW w:type="dxa" w:w="1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Crowd-sourced utility</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16 years</w:t>
            </w:r>
          </w:p>
        </w:tc>
        <w:tc>
          <w:tcPr>
            <w:tcW w:type="dxa" w:w="1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Not reached</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High</w:t>
            </w:r>
          </w:p>
        </w:tc>
        <w:tc>
          <w:tcPr>
            <w:tcW w:type="dxa" w:w="2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Proves slow burn works. 75M users, pure utility word-of-mouth.</w:t>
            </w:r>
          </w:p>
        </w:tc>
      </w:tr>
      <w:tr>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Nextdoor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Hyperlocal social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12 years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Not reached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Invite-only first 2 years. Deliberate density before breadth.</w:t>
            </w:r>
          </w:p>
        </w:tc>
      </w:tr>
      <w:tr>
        <w:tc>
          <w:tcPr>
            <w:tcW w:type="dxa" w:w="1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Duolingo</w:t>
            </w:r>
          </w:p>
        </w:tc>
        <w:tc>
          <w:tcPr>
            <w:tcW w:type="dxa" w:w="1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Daily habit utility</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 years</w:t>
            </w:r>
          </w:p>
        </w:tc>
        <w:tc>
          <w:tcPr>
            <w:tcW w:type="dxa" w:w="1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9 years</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Medium</w:t>
            </w:r>
          </w:p>
        </w:tc>
        <w:tc>
          <w:tcPr>
            <w:tcW w:type="dxa" w:w="2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Best subscription conversion comp. 7-9% paid rate.</w:t>
            </w:r>
          </w:p>
        </w:tc>
      </w:tr>
      <w:tr>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Yelp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Local venue reviews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6 years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8 years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8 years to 100M. Strong organic SEO + word of mouth.</w:t>
            </w:r>
          </w:p>
        </w:tc>
      </w:tr>
      <w:tr>
        <w:tc>
          <w:tcPr>
            <w:tcW w:type="dxa" w:w="1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Foursquare</w:t>
            </w:r>
          </w:p>
        </w:tc>
        <w:tc>
          <w:tcPr>
            <w:tcW w:type="dxa" w:w="1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Location check-in</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Peaked 55M</w:t>
            </w:r>
          </w:p>
        </w:tc>
        <w:tc>
          <w:tcPr>
            <w:tcW w:type="dxa" w:w="1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Never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Counter</w:t>
            </w:r>
          </w:p>
        </w:tc>
        <w:tc>
          <w:tcPr>
            <w:tcW w:type="dxa" w:w="2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Failed because check-in served poster's ego, not viewer's need.</w:t>
            </w:r>
          </w:p>
        </w:tc>
      </w:tr>
      <w:tr>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Peepl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Universal crowd utility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6-7 years</w:t>
            </w:r>
          </w:p>
        </w:tc>
        <w:tc>
          <w:tcPr>
            <w:tcW w:type="dxa" w:w="1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8-10 years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Geofence trigger advantage accelerates vs. all comps.</w:t>
            </w:r>
          </w:p>
        </w:tc>
      </w:tr>
    </w:tbl>
    <w:p>
      <w:pPr>
        <w:spacing w:before="80" w:after="0"/>
      </w:pPr>
    </w:p>
    <w:p>
      <w:pPr>
        <w:spacing w:before="60" w:after="100"/>
      </w:pPr>
      <w:r>
        <w:rPr>
          <w:rFonts w:ascii="Arial" w:cs="Arial" w:eastAsia="Arial" w:hAnsi="Arial"/>
          <w:color w:val="2D2D2D"/>
          <w:sz w:val="22"/>
          <w:szCs w:val="22"/>
        </w:rPr>
        <w:t xml:space="preserve">Peepl's geofence auto-trigger is the single most important growth accelerator relative to comparables. Waze relied on manual incident reporting. GasBuddy required deliberate price entry. Peepl's content generation is semi-passive — a notification fires, a user taps once, and a peep exists. This compresses the content density timeline that was the primary growth constraint for both Waze and GasBuddy.</w:t>
      </w:r>
    </w:p>
    <w:p>
      <w:pPr>
        <w:spacing w:before="80" w:after="0"/>
      </w:pPr>
    </w:p>
    <w:p>
      <w:pPr>
        <w:pStyle w:val="Heading2"/>
        <w:spacing w:before="260" w:after="100"/>
      </w:pPr>
      <w:r>
        <w:rPr>
          <w:rFonts w:ascii="Arial" w:cs="Arial" w:eastAsia="Arial" w:hAnsi="Arial"/>
          <w:b/>
          <w:bCs/>
          <w:color w:val="1565C0"/>
          <w:sz w:val="28"/>
          <w:szCs w:val="28"/>
        </w:rPr>
        <w:t xml:space="preserve">8-Year Growth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360"/>
        <w:gridCol w:w="1440"/>
        <w:gridCol w:w="880"/>
        <w:gridCol w:w="4960"/>
      </w:tblGrid>
      <w:tr>
        <w:tc>
          <w:tcPr>
            <w:tcW w:type="dxa" w:w="72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Year</w:t>
            </w:r>
          </w:p>
        </w:tc>
        <w:tc>
          <w:tcPr>
            <w:tcW w:type="dxa" w:w="13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MAU Range</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Revenue Range</w:t>
            </w:r>
          </w:p>
        </w:tc>
        <w:tc>
          <w:tcPr>
            <w:tcW w:type="dxa" w:w="88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c>
          <w:tcPr>
            <w:tcW w:type="dxa" w:w="49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Key Milestone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Year 1</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100K-300K</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$1M-$4M</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Seed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Atlanta launch. Silent. Pioneer mechanic. First 30 merchants.</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Year 2</w:t>
            </w:r>
          </w:p>
        </w:tc>
        <w:tc>
          <w:tcPr>
            <w:tcW w:type="dxa" w:w="1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300K-1M</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$4M-$18M</w:t>
            </w:r>
          </w:p>
        </w:tc>
        <w:tc>
          <w:tcPr>
            <w:tcW w:type="dxa" w:w="8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Root</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3-5 cities. No PR. Merchant portal proven. Organic only.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Year 3</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1M-4M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$18M-$68M</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Root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 cities. B2B data pilots. VIPeeps launched. Still invisible.</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Year 4</w:t>
            </w:r>
          </w:p>
        </w:tc>
        <w:tc>
          <w:tcPr>
            <w:tcW w:type="dxa" w:w="1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4M-12M</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$68M-$190M</w:t>
            </w:r>
          </w:p>
        </w:tc>
        <w:tc>
          <w:tcPr>
            <w:tcW w:type="dxa" w:w="8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Grow</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National coverage. B2B enterprise. Becoming noticeable.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Year 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12M-28M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$190M-$420M</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Grow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Unavoidable. Tech press finds it. Data moat is 4 years deep.</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Year 6</w:t>
            </w:r>
          </w:p>
        </w:tc>
        <w:tc>
          <w:tcPr>
            <w:tcW w:type="dxa" w:w="1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28M-50M</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$420M-$740M</w:t>
            </w:r>
          </w:p>
        </w:tc>
        <w:tc>
          <w:tcPr>
            <w:tcW w:type="dxa" w:w="8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Scale</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50M MAU. 5-year data archive. Acquisition inquiries active.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Year 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50M-75M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$740M-$1.1B</w:t>
            </w:r>
          </w:p>
        </w:tc>
        <w:tc>
          <w:tcPr>
            <w:tcW w:type="dxa" w:w="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Scale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International. B2B tier-1. $1B revenue in sight.</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Year 8</w:t>
            </w:r>
          </w:p>
        </w:tc>
        <w:tc>
          <w:tcPr>
            <w:tcW w:type="dxa" w:w="13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75M-100M</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$1.1B-$1.6B</w:t>
            </w:r>
          </w:p>
        </w:tc>
        <w:tc>
          <w:tcPr>
            <w:tcW w:type="dxa" w:w="8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Exit?</w:t>
            </w:r>
          </w:p>
        </w:tc>
        <w:tc>
          <w:tcPr>
            <w:tcW w:type="dxa" w:w="49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100M MAU. Full revenue maturity. Sell from strength.</w:t>
            </w:r>
          </w:p>
        </w:tc>
      </w:tr>
    </w:tbl>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6 — Entity Structure</w:t>
      </w:r>
    </w:p>
    <w:p>
      <w:pPr>
        <w:pBdr>
          <w:bottom w:val="single" w:color="0D2E6E" w:sz="6" w:space="1"/>
        </w:pBdr>
        <w:spacing w:before="0" w:after="180"/>
      </w:pPr>
    </w:p>
    <w:p>
      <w:pPr>
        <w:spacing w:before="60" w:after="100"/>
      </w:pPr>
      <w:r>
        <w:rPr>
          <w:rFonts w:ascii="Arial" w:cs="Arial" w:eastAsia="Arial" w:hAnsi="Arial"/>
          <w:color w:val="2D2D2D"/>
          <w:sz w:val="22"/>
          <w:szCs w:val="22"/>
        </w:rPr>
        <w:t xml:space="preserve">The legal entity structure is designed to achieve three simultaneous objectives: protect the beneficial owner's identity, isolate Peepl LLC as a clean acquisition target, and maximize tax efficiency at every stage from operations through exit.</w:t>
      </w:r>
    </w:p>
    <w:p>
      <w:pPr>
        <w:spacing w:before="120" w:after="0"/>
      </w:pPr>
    </w:p>
    <w:p>
      <w:pPr>
        <w:pStyle w:val="Heading2"/>
        <w:spacing w:before="260" w:after="100"/>
      </w:pPr>
      <w:r>
        <w:rPr>
          <w:rFonts w:ascii="Arial" w:cs="Arial" w:eastAsia="Arial" w:hAnsi="Arial"/>
          <w:b/>
          <w:bCs/>
          <w:color w:val="1565C0"/>
          <w:sz w:val="28"/>
          <w:szCs w:val="28"/>
        </w:rPr>
        <w:t xml:space="preserve">Current Entities — Existing</w:t>
      </w:r>
    </w:p>
    <w:p>
      <w:pPr>
        <w:pStyle w:val="ListParagraph"/>
        <w:numPr>
          <w:ilvl w:val="0"/>
          <w:numId w:val="5"/>
        </w:numPr>
        <w:spacing w:before="40" w:after="60"/>
      </w:pPr>
      <w:r>
        <w:rPr>
          <w:rFonts w:ascii="Arial" w:cs="Arial" w:eastAsia="Arial" w:hAnsi="Arial"/>
          <w:color w:val="2D2D2D"/>
          <w:sz w:val="22"/>
          <w:szCs w:val="22"/>
        </w:rPr>
        <w:t xml:space="preserve">You — beneficial owner, natural person. Personal liability never touches any operating company.</w:t>
      </w:r>
    </w:p>
    <w:p>
      <w:pPr>
        <w:pStyle w:val="ListParagraph"/>
        <w:numPr>
          <w:ilvl w:val="0"/>
          <w:numId w:val="5"/>
        </w:numPr>
        <w:spacing w:before="40" w:after="60"/>
      </w:pPr>
      <w:r>
        <w:rPr>
          <w:rFonts w:ascii="Arial" w:cs="Arial" w:eastAsia="Arial" w:hAnsi="Arial"/>
          <w:color w:val="2D2D2D"/>
          <w:sz w:val="22"/>
          <w:szCs w:val="22"/>
        </w:rPr>
        <w:t xml:space="preserve">Mulholland Revocable Trust — holds 100% of Axis Strategic Holdings LLC. Avoids probate. You remain trustee and beneficiary. Can be converted to irrevocable trust before liquidity event for estate tax benefits.</w:t>
      </w:r>
    </w:p>
    <w:p>
      <w:pPr>
        <w:pStyle w:val="ListParagraph"/>
        <w:numPr>
          <w:ilvl w:val="0"/>
          <w:numId w:val="5"/>
        </w:numPr>
        <w:spacing w:before="40" w:after="60"/>
      </w:pPr>
      <w:r>
        <w:rPr>
          <w:rFonts w:ascii="Arial" w:cs="Arial" w:eastAsia="Arial" w:hAnsi="Arial"/>
          <w:color w:val="2D2D2D"/>
          <w:sz w:val="22"/>
          <w:szCs w:val="22"/>
        </w:rPr>
        <w:t xml:space="preserve">Axis Strategic Holdings LLC — existing Georgia LLC. Holding company only. No employees, no contracts, no operations. Holds equity in operating subsidiaries. Note: consider redomesticating to Delaware before acquisition process begins.</w:t>
      </w:r>
    </w:p>
    <w:p>
      <w:pPr>
        <w:spacing w:before="120" w:after="0"/>
      </w:pPr>
    </w:p>
    <w:p>
      <w:pPr>
        <w:pStyle w:val="Heading2"/>
        <w:spacing w:before="260" w:after="100"/>
      </w:pPr>
      <w:r>
        <w:rPr>
          <w:rFonts w:ascii="Arial" w:cs="Arial" w:eastAsia="Arial" w:hAnsi="Arial"/>
          <w:b/>
          <w:bCs/>
          <w:color w:val="1565C0"/>
          <w:sz w:val="28"/>
          <w:szCs w:val="28"/>
        </w:rPr>
        <w:t xml:space="preserve">Entities to Charter — Immediately</w:t>
      </w:r>
    </w:p>
    <w:p>
      <w:pPr>
        <w:pStyle w:val="ListParagraph"/>
        <w:numPr>
          <w:ilvl w:val="0"/>
          <w:numId w:val="6"/>
        </w:numPr>
        <w:spacing w:before="40" w:after="60"/>
      </w:pPr>
      <w:r>
        <w:rPr>
          <w:rFonts w:ascii="Arial" w:cs="Arial" w:eastAsia="Arial" w:hAnsi="Arial"/>
          <w:color w:val="2D2D2D"/>
          <w:sz w:val="22"/>
          <w:szCs w:val="22"/>
        </w:rPr>
        <w:t xml:space="preserve">Peepl LLC — Delaware LLC. Owned 100% by Axis Strategic Holdings. Owns all Peepl IP, code, crowd data, merchant contracts, user agreements, domain names, and infrastructure. Has its own dedicated bank account. Clean single-owner cap table. This is the entity the acquirer purchases.</w:t>
      </w:r>
    </w:p>
    <w:p>
      <w:pPr>
        <w:pStyle w:val="ListParagraph"/>
        <w:numPr>
          <w:ilvl w:val="0"/>
          <w:numId w:val="6"/>
        </w:numPr>
        <w:spacing w:before="40" w:after="60"/>
      </w:pPr>
      <w:r>
        <w:rPr>
          <w:rFonts w:ascii="Arial" w:cs="Arial" w:eastAsia="Arial" w:hAnsi="Arial"/>
          <w:color w:val="2D2D2D"/>
          <w:sz w:val="22"/>
          <w:szCs w:val="22"/>
        </w:rPr>
        <w:t xml:space="preserve">Axis Labs LLC — Delaware LLC. Owned 100% by Axis Strategic Holdings. Holds all non-Peepl products, experiments, and future ventures. Completely firewalled from Peepl. Peepl acquisition cannot be complicated by anything in Axis Labs.</w:t>
      </w:r>
    </w:p>
    <w:p>
      <w:pPr>
        <w:spacing w:before="120" w:after="0"/>
      </w:pPr>
    </w:p>
    <w:p>
      <w:pPr>
        <w:pStyle w:val="Heading2"/>
        <w:spacing w:before="260" w:after="100"/>
      </w:pPr>
      <w:r>
        <w:rPr>
          <w:rFonts w:ascii="Arial" w:cs="Arial" w:eastAsia="Arial" w:hAnsi="Arial"/>
          <w:b/>
          <w:bCs/>
          <w:color w:val="1565C0"/>
          <w:sz w:val="28"/>
          <w:szCs w:val="28"/>
        </w:rPr>
        <w:t xml:space="preserve">Entity to Establish — Future</w:t>
      </w:r>
    </w:p>
    <w:p>
      <w:pPr>
        <w:pStyle w:val="ListParagraph"/>
        <w:numPr>
          <w:ilvl w:val="0"/>
          <w:numId w:val="7"/>
        </w:numPr>
        <w:spacing w:before="40" w:after="60"/>
      </w:pPr>
      <w:r>
        <w:rPr>
          <w:rFonts w:ascii="Arial" w:cs="Arial" w:eastAsia="Arial" w:hAnsi="Arial"/>
          <w:color w:val="2D2D2D"/>
          <w:sz w:val="22"/>
          <w:szCs w:val="22"/>
        </w:rPr>
        <w:t xml:space="preserve">Private Foundation or Donor-Advised Fund — established when philanthropic intent is clear. Most powerful if funded before the Peepl acquisition closes. Contribute appreciated Peepl equity pre-sale to eliminate capital gains on that portion entirely.</w:t>
      </w:r>
    </w:p>
    <w:p>
      <w:pPr>
        <w:spacing w:before="120" w:after="0"/>
      </w:pPr>
    </w:p>
    <w:p>
      <w:pPr>
        <w:pStyle w:val="Heading2"/>
        <w:spacing w:before="260" w:after="100"/>
      </w:pPr>
      <w:r>
        <w:rPr>
          <w:rFonts w:ascii="Arial" w:cs="Arial" w:eastAsia="Arial" w:hAnsi="Arial"/>
          <w:b/>
          <w:bCs/>
          <w:color w:val="1565C0"/>
          <w:sz w:val="28"/>
          <w:szCs w:val="28"/>
        </w:rPr>
        <w:t xml:space="preserve">Immediate Action Items</w:t>
      </w:r>
    </w:p>
    <w:p>
      <w:pPr>
        <w:pStyle w:val="ListParagraph"/>
        <w:numPr>
          <w:ilvl w:val="0"/>
          <w:numId w:val="8"/>
        </w:numPr>
        <w:spacing w:before="50" w:after="60"/>
      </w:pPr>
      <w:r>
        <w:rPr>
          <w:rFonts w:ascii="Arial" w:cs="Arial" w:eastAsia="Arial" w:hAnsi="Arial"/>
          <w:color w:val="2D2D2D"/>
          <w:sz w:val="22"/>
          <w:szCs w:val="22"/>
        </w:rPr>
        <w:t xml:space="preserve">Charter Peepl LLC in Delaware this week. Open dedicated bank account same week.</w:t>
      </w:r>
    </w:p>
    <w:p>
      <w:pPr>
        <w:pStyle w:val="ListParagraph"/>
        <w:numPr>
          <w:ilvl w:val="0"/>
          <w:numId w:val="8"/>
        </w:numPr>
        <w:spacing w:before="50" w:after="60"/>
      </w:pPr>
      <w:r>
        <w:rPr>
          <w:rFonts w:ascii="Arial" w:cs="Arial" w:eastAsia="Arial" w:hAnsi="Arial"/>
          <w:color w:val="2D2D2D"/>
          <w:sz w:val="22"/>
          <w:szCs w:val="22"/>
        </w:rPr>
        <w:t xml:space="preserve">Charter Axis Labs LLC in Delaware this week.</w:t>
      </w:r>
    </w:p>
    <w:p>
      <w:pPr>
        <w:pStyle w:val="ListParagraph"/>
        <w:numPr>
          <w:ilvl w:val="0"/>
          <w:numId w:val="8"/>
        </w:numPr>
        <w:spacing w:before="50" w:after="60"/>
      </w:pPr>
      <w:r>
        <w:rPr>
          <w:rFonts w:ascii="Arial" w:cs="Arial" w:eastAsia="Arial" w:hAnsi="Arial"/>
          <w:color w:val="2D2D2D"/>
          <w:sz w:val="22"/>
          <w:szCs w:val="22"/>
        </w:rPr>
        <w:t xml:space="preserve">Execute IP assignment agreement — formally transfer all Peepl code, data rights, domain, and trademarks to Peepl LLC via written agreement before first revenue.</w:t>
      </w:r>
    </w:p>
    <w:p>
      <w:pPr>
        <w:pStyle w:val="ListParagraph"/>
        <w:numPr>
          <w:ilvl w:val="0"/>
          <w:numId w:val="8"/>
        </w:numPr>
        <w:spacing w:before="50" w:after="60"/>
      </w:pPr>
      <w:r>
        <w:rPr>
          <w:rFonts w:ascii="Arial" w:cs="Arial" w:eastAsia="Arial" w:hAnsi="Arial"/>
          <w:color w:val="2D2D2D"/>
          <w:sz w:val="22"/>
          <w:szCs w:val="22"/>
        </w:rPr>
        <w:t xml:space="preserve">Confirm Mulholland Trust formally holds Axis Strategic Holdings membership interest in writing.</w:t>
      </w:r>
    </w:p>
    <w:p>
      <w:pPr>
        <w:pStyle w:val="ListParagraph"/>
        <w:numPr>
          <w:ilvl w:val="0"/>
          <w:numId w:val="8"/>
        </w:numPr>
        <w:spacing w:before="50" w:after="60"/>
      </w:pPr>
      <w:r>
        <w:rPr>
          <w:rFonts w:ascii="Arial" w:cs="Arial" w:eastAsia="Arial" w:hAnsi="Arial"/>
          <w:color w:val="2D2D2D"/>
          <w:sz w:val="22"/>
          <w:szCs w:val="22"/>
        </w:rPr>
        <w:t xml:space="preserve">Engage tax attorney for liquidity planning before revenue scales.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2E6E" w:val="clear"/>
            <w:tcMar>
              <w:top w:type="dxa" w:w="0"/>
              <w:left w:type="dxa" w:w="0"/>
              <w:bottom w:type="dxa" w:w="0"/>
              <w:right w:type="dxa" w:w="0"/>
            </w:tcMar>
          </w:tcPr>
          <w:p/>
        </w:tc>
        <w:tc>
          <w:tcPr>
            <w:tcW w:type="dxa" w:w="9120"/>
            <w:tcBorders>
              <w:top w:val="none" w:color="FFFFFF" w:sz="0"/>
              <w:left w:val="none" w:color="FFFFFF" w:sz="0"/>
              <w:bottom w:val="none" w:color="FFFFFF" w:sz="0"/>
              <w:right w:val="none" w:color="FFFFFF" w:sz="0"/>
            </w:tcBorders>
            <w:shd w:fill="E8F0FD" w:val="clear"/>
            <w:tcMar>
              <w:top w:type="dxa" w:w="160"/>
              <w:left w:type="dxa" w:w="220"/>
              <w:bottom w:type="dxa" w:w="160"/>
              <w:right w:type="dxa" w:w="220"/>
            </w:tcMar>
          </w:tcPr>
          <w:p>
            <w:r>
              <w:rPr>
                <w:rFonts w:ascii="Arial" w:cs="Arial" w:eastAsia="Arial" w:hAnsi="Arial"/>
                <w:color w:val="0D2E6E"/>
                <w:sz w:val="22"/>
                <w:szCs w:val="22"/>
              </w:rPr>
              <w:t xml:space="preserve">The acquisition cash flow: Acquirer writes check to Peepl LLC. Peepl LLC distributes to Axis Strategic Holdings. Axis Strategic Holdings flows to Mulholland Trust. Trust flows to you. Then to Treasuries and the multi-family office. All receiving structures must be established before the wire arrives.</w:t>
            </w:r>
          </w:p>
        </w:tc>
      </w:tr>
    </w:tbl>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7 — Tax Liability &amp; Net Proceeds</w:t>
      </w:r>
    </w:p>
    <w:p>
      <w:pPr>
        <w:pBdr>
          <w:bottom w:val="single" w:color="0D2E6E" w:sz="6" w:space="1"/>
        </w:pBdr>
        <w:spacing w:before="0" w:after="180"/>
      </w:pPr>
    </w:p>
    <w:p>
      <w:pPr>
        <w:pStyle w:val="Heading2"/>
        <w:spacing w:before="260" w:after="100"/>
      </w:pPr>
      <w:r>
        <w:rPr>
          <w:rFonts w:ascii="Arial" w:cs="Arial" w:eastAsia="Arial" w:hAnsi="Arial"/>
          <w:b/>
          <w:bCs/>
          <w:color w:val="1565C0"/>
          <w:sz w:val="28"/>
          <w:szCs w:val="28"/>
        </w:rPr>
        <w:t xml:space="preserve">Sale Proceeds — Tax at Close</w:t>
      </w:r>
    </w:p>
    <w:p>
      <w:pPr>
        <w:spacing w:before="60" w:after="100"/>
      </w:pPr>
      <w:r>
        <w:rPr>
          <w:rFonts w:ascii="Arial" w:cs="Arial" w:eastAsia="Arial" w:hAnsi="Arial"/>
          <w:color w:val="2D2D2D"/>
          <w:sz w:val="22"/>
          <w:szCs w:val="22"/>
        </w:rPr>
        <w:t xml:space="preserve">At 51% ownership of a $112B acquisition, gross proceeds are $57.12B. Cost basis is effectively zero — bootstrapped from inception. The full $57.12B is taxable gain.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760"/>
        <w:gridCol w:w="3400"/>
      </w:tblGrid>
      <w:tr>
        <w:tc>
          <w:tcPr>
            <w:tcW w:type="dxa" w:w="28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Tax</w:t>
            </w:r>
          </w:p>
        </w:tc>
        <w:tc>
          <w:tcPr>
            <w:tcW w:type="dxa" w:w="14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Rate</w:t>
            </w:r>
          </w:p>
        </w:tc>
        <w:tc>
          <w:tcPr>
            <w:tcW w:type="dxa" w:w="17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Amount</w:t>
            </w:r>
          </w:p>
        </w:tc>
        <w:tc>
          <w:tcPr>
            <w:tcW w:type="dxa" w:w="34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Federal LTCG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20.00%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$11.42B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Long-term capital gains — held &gt;1 year</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Net Investment Income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 3.80%</w:t>
            </w:r>
          </w:p>
        </w:tc>
        <w:tc>
          <w:tcPr>
            <w:tcW w:type="dxa" w:w="1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$2.17B</w:t>
            </w:r>
          </w:p>
        </w:tc>
        <w:tc>
          <w:tcPr>
            <w:tcW w:type="dxa" w:w="3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Applies on investment income above $200K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Georgia State Tax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 5.49%</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$3.14B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Georgia resident flat rate — full gain</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TOTAL TAX</w:t>
            </w:r>
          </w:p>
        </w:tc>
        <w:tc>
          <w:tcPr>
            <w:tcW w:type="dxa" w:w="1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29.29%</w:t>
            </w:r>
          </w:p>
        </w:tc>
        <w:tc>
          <w:tcPr>
            <w:tcW w:type="dxa" w:w="1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$16.73B</w:t>
            </w:r>
          </w:p>
        </w:tc>
        <w:tc>
          <w:tcPr>
            <w:tcW w:type="dxa" w:w="3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Combined effective rate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YOUR NET (no planning)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$40.39B</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After all taxes</w:t>
            </w:r>
          </w:p>
        </w:tc>
      </w:tr>
    </w:tbl>
    <w:p>
      <w:pPr>
        <w:spacing w:before="120" w:after="0"/>
      </w:pPr>
    </w:p>
    <w:p>
      <w:pPr>
        <w:pStyle w:val="Heading2"/>
        <w:spacing w:before="260" w:after="100"/>
      </w:pPr>
      <w:r>
        <w:rPr>
          <w:rFonts w:ascii="Arial" w:cs="Arial" w:eastAsia="Arial" w:hAnsi="Arial"/>
          <w:b/>
          <w:bCs/>
          <w:color w:val="1565C0"/>
          <w:sz w:val="28"/>
          <w:szCs w:val="28"/>
        </w:rPr>
        <w:t xml:space="preserve">Pre-Sale Planning — Additional Net Available</w:t>
      </w:r>
    </w:p>
    <w:p>
      <w:pPr>
        <w:spacing w:before="60" w:after="100"/>
      </w:pPr>
      <w:r>
        <w:rPr>
          <w:rFonts w:ascii="Arial" w:cs="Arial" w:eastAsia="Arial" w:hAnsi="Arial"/>
          <w:color w:val="2D2D2D"/>
          <w:sz w:val="22"/>
          <w:szCs w:val="22"/>
        </w:rPr>
        <w:t xml:space="preserve">Two legal pre-sale decisions generate $7.6B in additional net proceeds without changing the transaction or the ownership structure.</w:t>
      </w:r>
    </w:p>
    <w:p>
      <w:pPr>
        <w:spacing w:before="80" w:after="0"/>
      </w:pPr>
    </w:p>
    <w:p>
      <w:pPr>
        <w:pStyle w:val="ListParagraph"/>
        <w:numPr>
          <w:ilvl w:val="0"/>
          <w:numId w:val="9"/>
        </w:numPr>
        <w:spacing w:before="40" w:after="60"/>
      </w:pPr>
      <w:r>
        <w:rPr>
          <w:rFonts w:ascii="Arial" w:cs="Arial" w:eastAsia="Arial" w:hAnsi="Arial"/>
          <w:color w:val="2D2D2D"/>
          <w:sz w:val="22"/>
          <w:szCs w:val="22"/>
        </w:rPr>
        <w:t xml:space="preserve">Florida residency — relocating domicile from Georgia to Florida before close eliminates Georgia state tax on the transaction. Saving: $3.14B. Requires genuine change of primary residence 12+ months before close. This is a personal decision as much as a financial one.</w:t>
      </w:r>
    </w:p>
    <w:p>
      <w:pPr>
        <w:pStyle w:val="ListParagraph"/>
        <w:numPr>
          <w:ilvl w:val="0"/>
          <w:numId w:val="9"/>
        </w:numPr>
        <w:spacing w:before="40" w:after="60"/>
      </w:pPr>
      <w:r>
        <w:rPr>
          <w:rFonts w:ascii="Arial" w:cs="Arial" w:eastAsia="Arial" w:hAnsi="Arial"/>
          <w:color w:val="2D2D2D"/>
          <w:sz w:val="22"/>
          <w:szCs w:val="22"/>
        </w:rPr>
        <w:t xml:space="preserve">Foundation contribution — contributing 10% of equity to a Donor-Advised Fund or Private Foundation before close eliminates capital gains on that portion and generates a charitable deduction saving an additional $1.67B. Total controlled wealth increases by $5.7B while tax decreases.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440"/>
        <w:gridCol w:w="1440"/>
        <w:gridCol w:w="1440"/>
        <w:gridCol w:w="1440"/>
      </w:tblGrid>
      <w:tr>
        <w:tc>
          <w:tcPr>
            <w:tcW w:type="dxa" w:w="26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Scenario</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Gross</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Tax Paid</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Personal Net</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Foundation</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 Controlled</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No planning — Georgia</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$57.12B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$16.73B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$40.39B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$40.39B</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10% foundation — Georgia</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$57.12B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$15.06B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$35.35B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$5.71B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$41.06B</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Florida residency — no foundation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$57.12B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$13.59B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$43.53B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$43.53B</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Florida + 10% foundation (best)</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$57.12B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$12.01B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$39.40B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$5.71B</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$45.11B</w:t>
            </w:r>
          </w:p>
        </w:tc>
      </w:tr>
    </w:tbl>
    <w:p>
      <w:pPr>
        <w:spacing w:before="120" w:after="0"/>
      </w:pPr>
    </w:p>
    <w:p>
      <w:pPr>
        <w:pStyle w:val="Heading2"/>
        <w:spacing w:before="260" w:after="100"/>
      </w:pPr>
      <w:r>
        <w:rPr>
          <w:rFonts w:ascii="Arial" w:cs="Arial" w:eastAsia="Arial" w:hAnsi="Arial"/>
          <w:b/>
          <w:bCs/>
          <w:color w:val="1565C0"/>
          <w:sz w:val="28"/>
          <w:szCs w:val="28"/>
        </w:rPr>
        <w:t xml:space="preserve">Interest Income on Net Proceeds</w:t>
      </w:r>
    </w:p>
    <w:p>
      <w:pPr>
        <w:spacing w:before="60" w:after="100"/>
      </w:pPr>
      <w:r>
        <w:rPr>
          <w:rFonts w:ascii="Arial" w:cs="Arial" w:eastAsia="Arial" w:hAnsi="Arial"/>
          <w:color w:val="2D2D2D"/>
          <w:sz w:val="22"/>
          <w:szCs w:val="22"/>
        </w:rPr>
        <w:t xml:space="preserve">Treasury interest is ordinary income — not capital gains — taxed at 37% federal plus 3.8% NIIT. Both Georgia and Florida exempt US government interest from state tax entirely by law, making Treasury income more tax-efficient than equivalent-yield corporate bonds on an after-tax basis.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200"/>
        <w:gridCol w:w="1680"/>
        <w:gridCol w:w="2640"/>
      </w:tblGrid>
      <w:tr>
        <w:tc>
          <w:tcPr>
            <w:tcW w:type="dxa" w:w="24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Treasury Instrument</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Current Yield</w:t>
            </w:r>
          </w:p>
        </w:tc>
        <w:tc>
          <w:tcPr>
            <w:tcW w:type="dxa" w:w="12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Tax Rate</w:t>
            </w:r>
          </w:p>
        </w:tc>
        <w:tc>
          <w:tcPr>
            <w:tcW w:type="dxa" w:w="168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After-Tax Yield</w:t>
            </w:r>
          </w:p>
        </w:tc>
        <w:tc>
          <w:tcPr>
            <w:tcW w:type="dxa" w:w="26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Net Annual on $40.39B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T-Bills (3-month)</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40.8%</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2.55%</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$1.03B/yr</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T-Notes (2-year)</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3.88%</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40.8%</w:t>
            </w:r>
          </w:p>
        </w:tc>
        <w:tc>
          <w:tcPr>
            <w:tcW w:type="dxa" w:w="1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2.30%</w:t>
            </w:r>
          </w:p>
        </w:tc>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$930M/yr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T-Notes (10-year)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40.8%</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2.60%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$1.05B/yr</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T-Bonds (30-year)</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4.96%</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40.8%</w:t>
            </w:r>
          </w:p>
        </w:tc>
        <w:tc>
          <w:tcPr>
            <w:tcW w:type="dxa" w:w="1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2.93%</w:t>
            </w:r>
          </w:p>
        </w:tc>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$1.18B/yr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Laddered portfolio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40.8%</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2.57%</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$1.04B/yr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2E6E" w:val="clear"/>
            <w:tcMar>
              <w:top w:type="dxa" w:w="0"/>
              <w:left w:type="dxa" w:w="0"/>
              <w:bottom w:type="dxa" w:w="0"/>
              <w:right w:type="dxa" w:w="0"/>
            </w:tcMar>
          </w:tcPr>
          <w:p/>
        </w:tc>
        <w:tc>
          <w:tcPr>
            <w:tcW w:type="dxa" w:w="9120"/>
            <w:tcBorders>
              <w:top w:val="none" w:color="FFFFFF" w:sz="0"/>
              <w:left w:val="none" w:color="FFFFFF" w:sz="0"/>
              <w:bottom w:val="none" w:color="FFFFFF" w:sz="0"/>
              <w:right w:val="none" w:color="FFFFFF" w:sz="0"/>
            </w:tcBorders>
            <w:shd w:fill="E8F0FD" w:val="clear"/>
            <w:tcMar>
              <w:top w:type="dxa" w:w="160"/>
              <w:left w:type="dxa" w:w="220"/>
              <w:bottom w:type="dxa" w:w="160"/>
              <w:right w:type="dxa" w:w="220"/>
            </w:tcMar>
          </w:tcPr>
          <w:p>
            <w:r>
              <w:rPr>
                <w:rFonts w:ascii="Arial" w:cs="Arial" w:eastAsia="Arial" w:hAnsi="Arial"/>
                <w:color w:val="0D2E6E"/>
                <w:sz w:val="22"/>
                <w:szCs w:val="22"/>
              </w:rPr>
              <w:t xml:space="preserve">A laddered Treasury portfolio on $40.39B generates $1.04B net per year — $86.7M per month, $2.85M per day — with zero risk and principal fully intact and liquid at all times. The 30-year term refers to the government's repayment schedule, not your access. Treasuries can be sold any trading day.</w:t>
            </w:r>
          </w:p>
        </w:tc>
      </w:tr>
    </w:tbl>
    <w:p>
      <w:pPr>
        <w:spacing w:before="120" w:after="0"/>
      </w:pPr>
    </w:p>
    <w:p>
      <w:pPr>
        <w:pStyle w:val="Heading2"/>
        <w:spacing w:before="260" w:after="100"/>
      </w:pPr>
      <w:r>
        <w:rPr>
          <w:rFonts w:ascii="Arial" w:cs="Arial" w:eastAsia="Arial" w:hAnsi="Arial"/>
          <w:b/>
          <w:bCs/>
          <w:color w:val="1565C0"/>
          <w:sz w:val="28"/>
          <w:szCs w:val="28"/>
        </w:rPr>
        <w:t xml:space="preserve">Reducing the Tax Rate on Investment Income</w:t>
      </w:r>
    </w:p>
    <w:p>
      <w:pPr>
        <w:spacing w:before="60" w:after="100"/>
      </w:pPr>
      <w:r>
        <w:rPr>
          <w:rFonts w:ascii="Arial" w:cs="Arial" w:eastAsia="Arial" w:hAnsi="Arial"/>
          <w:color w:val="2D2D2D"/>
          <w:sz w:val="22"/>
          <w:szCs w:val="22"/>
        </w:rPr>
        <w:t xml:space="preserve">Through legal portfolio structuring, the effective tax rate on investment income can be reduced from 40.8% to a blended 8-12%, generating approximately $980M in additional annual income on the same principal.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5040"/>
      </w:tblGrid>
      <w:tr>
        <w:tc>
          <w:tcPr>
            <w:tcW w:type="dxa" w:w="26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Strategy</w:t>
            </w:r>
          </w:p>
        </w:tc>
        <w:tc>
          <w:tcPr>
            <w:tcW w:type="dxa" w:w="168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Effective Tax Rate</w:t>
            </w:r>
          </w:p>
        </w:tc>
        <w:tc>
          <w:tcPr>
            <w:tcW w:type="dxa" w:w="5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How It Works</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Private Placement Life Insurance (PPLI)</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Investments grow tax-free inside a life insurance wrapper. Access via tax-free policy loans.</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Buy-Borrow-Die</w:t>
            </w:r>
          </w:p>
        </w:tc>
        <w:tc>
          <w:tcPr>
            <w:tcW w:type="dxa" w:w="1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w:t>
            </w:r>
          </w:p>
        </w:tc>
        <w:tc>
          <w:tcPr>
            <w:tcW w:type="dxa" w:w="5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Never sell. Borrow against assets at 3.5%. Loan proceeds not taxable. Step-up at death.</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Municipal Bonds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~0-3.8%</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Federally tax-exempt. Georgia munis also state-exempt.</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Real Estate + Depreciation</w:t>
            </w:r>
          </w:p>
        </w:tc>
        <w:tc>
          <w:tcPr>
            <w:tcW w:type="dxa" w:w="1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w:t>
            </w:r>
          </w:p>
        </w:tc>
        <w:tc>
          <w:tcPr>
            <w:tcW w:type="dxa" w:w="5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Cash income sheltered by non-cash depreciation. Near-zero effective rate on cash flow.</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Qualified Dividends</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23.8%</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Capital gains rate (20% + NIIT) instead of ordinary income rate.</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Oil &amp; Gas IDC</w:t>
            </w:r>
          </w:p>
        </w:tc>
        <w:tc>
          <w:tcPr>
            <w:tcW w:type="dxa" w:w="16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w:t>
            </w:r>
          </w:p>
        </w:tc>
        <w:tc>
          <w:tcPr>
            <w:tcW w:type="dxa" w:w="5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Up to 80% of investment immediately deductible as intangible drilling costs.</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Optimized blended portfolio</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All strategies combined. Additional $980M/yr vs. all-Treasury approach.</w:t>
            </w:r>
          </w:p>
        </w:tc>
      </w:tr>
    </w:tbl>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8 — Wealth Protection &amp; Privacy</w:t>
      </w:r>
    </w:p>
    <w:p>
      <w:pPr>
        <w:pBdr>
          <w:bottom w:val="single" w:color="0D2E6E" w:sz="6" w:space="1"/>
        </w:pBdr>
        <w:spacing w:before="0" w:after="180"/>
      </w:pPr>
    </w:p>
    <w:p>
      <w:pPr>
        <w:spacing w:before="60" w:after="100"/>
      </w:pPr>
      <w:r>
        <w:rPr>
          <w:rFonts w:ascii="Arial" w:cs="Arial" w:eastAsia="Arial" w:hAnsi="Arial"/>
          <w:color w:val="2D2D2D"/>
          <w:sz w:val="22"/>
          <w:szCs w:val="22"/>
        </w:rPr>
        <w:t xml:space="preserve">When Google announces the Peepl acquisition, the founder's name will be in the press release. The company's public-facing CEO is the face that appears — not the beneficial owner. However, to the extent the beneficial owner's identity becomes known, the privacy strategy shifts from concealment to control: managing the narrative, protecting the financial details, and preventing the public knowledge of a name from becoming a vector for exploitation and threats.</w:t>
      </w:r>
    </w:p>
    <w:p>
      <w:pPr>
        <w:spacing w:before="120" w:after="0"/>
      </w:pPr>
    </w:p>
    <w:p>
      <w:pPr>
        <w:pStyle w:val="Heading2"/>
        <w:spacing w:before="260" w:after="100"/>
      </w:pPr>
      <w:r>
        <w:rPr>
          <w:rFonts w:ascii="Arial" w:cs="Arial" w:eastAsia="Arial" w:hAnsi="Arial"/>
          <w:b/>
          <w:bCs/>
          <w:color w:val="1565C0"/>
          <w:sz w:val="28"/>
          <w:szCs w:val="28"/>
        </w:rPr>
        <w:t xml:space="preserve">Physical Security</w:t>
      </w:r>
    </w:p>
    <w:p>
      <w:pPr>
        <w:pStyle w:val="ListParagraph"/>
        <w:numPr>
          <w:ilvl w:val="0"/>
          <w:numId w:val="10"/>
        </w:numPr>
        <w:spacing w:before="40" w:after="60"/>
      </w:pPr>
      <w:r>
        <w:rPr>
          <w:rFonts w:ascii="Arial" w:cs="Arial" w:eastAsia="Arial" w:hAnsi="Arial"/>
          <w:color w:val="2D2D2D"/>
          <w:sz w:val="22"/>
          <w:szCs w:val="22"/>
        </w:rPr>
        <w:t xml:space="preserve">Director of Security — former Secret Service, FBI, or military special operations. Designs and manages the entire security program. Most important non-product hire. Cost: $200-400K/year.</w:t>
      </w:r>
    </w:p>
    <w:p>
      <w:pPr>
        <w:pStyle w:val="ListParagraph"/>
        <w:numPr>
          <w:ilvl w:val="0"/>
          <w:numId w:val="10"/>
        </w:numPr>
        <w:spacing w:before="40" w:after="60"/>
      </w:pPr>
      <w:r>
        <w:rPr>
          <w:rFonts w:ascii="Arial" w:cs="Arial" w:eastAsia="Arial" w:hAnsi="Arial"/>
          <w:color w:val="2D2D2D"/>
          <w:sz w:val="22"/>
          <w:szCs w:val="22"/>
        </w:rPr>
        <w:t xml:space="preserve">Residential security assessment before announcement. Perimeter, access control, cameras, safe room, egress routes.</w:t>
      </w:r>
    </w:p>
    <w:p>
      <w:pPr>
        <w:pStyle w:val="ListParagraph"/>
        <w:numPr>
          <w:ilvl w:val="0"/>
          <w:numId w:val="10"/>
        </w:numPr>
        <w:spacing w:before="40" w:after="60"/>
      </w:pPr>
      <w:r>
        <w:rPr>
          <w:rFonts w:ascii="Arial" w:cs="Arial" w:eastAsia="Arial" w:hAnsi="Arial"/>
          <w:color w:val="2D2D2D"/>
          <w:sz w:val="22"/>
          <w:szCs w:val="22"/>
        </w:rPr>
        <w:t xml:space="preserve">Varied routine — free and most effective personal security measure. Same time, same route, same stops is the highest-risk pattern.</w:t>
      </w:r>
    </w:p>
    <w:p>
      <w:pPr>
        <w:pStyle w:val="ListParagraph"/>
        <w:numPr>
          <w:ilvl w:val="0"/>
          <w:numId w:val="10"/>
        </w:numPr>
        <w:spacing w:before="40" w:after="60"/>
      </w:pPr>
      <w:r>
        <w:rPr>
          <w:rFonts w:ascii="Arial" w:cs="Arial" w:eastAsia="Arial" w:hAnsi="Arial"/>
          <w:color w:val="2D2D2D"/>
          <w:sz w:val="22"/>
          <w:szCs w:val="22"/>
        </w:rPr>
        <w:t xml:space="preserve">Secure transportation. Vehicle in entity name. Vetted professional driver. Security advance work for elevated-risk travel.</w:t>
      </w:r>
    </w:p>
    <w:p>
      <w:pPr>
        <w:pStyle w:val="ListParagraph"/>
        <w:numPr>
          <w:ilvl w:val="0"/>
          <w:numId w:val="10"/>
        </w:numPr>
        <w:spacing w:before="40" w:after="60"/>
      </w:pPr>
      <w:r>
        <w:rPr>
          <w:rFonts w:ascii="Arial" w:cs="Arial" w:eastAsia="Arial" w:hAnsi="Arial"/>
          <w:color w:val="2D2D2D"/>
          <w:sz w:val="22"/>
          <w:szCs w:val="22"/>
        </w:rPr>
        <w:t xml:space="preserve">Family security briefing. Children's school coordination. Social media discipline for family members.</w:t>
      </w:r>
    </w:p>
    <w:p>
      <w:pPr>
        <w:spacing w:before="120" w:after="0"/>
      </w:pPr>
    </w:p>
    <w:p>
      <w:pPr>
        <w:pStyle w:val="Heading2"/>
        <w:spacing w:before="260" w:after="100"/>
      </w:pPr>
      <w:r>
        <w:rPr>
          <w:rFonts w:ascii="Arial" w:cs="Arial" w:eastAsia="Arial" w:hAnsi="Arial"/>
          <w:b/>
          <w:bCs/>
          <w:color w:val="1565C0"/>
          <w:sz w:val="28"/>
          <w:szCs w:val="28"/>
        </w:rPr>
        <w:t xml:space="preserve">Financial Security</w:t>
      </w:r>
    </w:p>
    <w:p>
      <w:pPr>
        <w:pStyle w:val="ListParagraph"/>
        <w:numPr>
          <w:ilvl w:val="0"/>
          <w:numId w:val="11"/>
        </w:numPr>
        <w:spacing w:before="40" w:after="60"/>
      </w:pPr>
      <w:r>
        <w:rPr>
          <w:rFonts w:ascii="Arial" w:cs="Arial" w:eastAsia="Arial" w:hAnsi="Arial"/>
          <w:color w:val="2D2D2D"/>
          <w:sz w:val="22"/>
          <w:szCs w:val="22"/>
        </w:rPr>
        <w:t xml:space="preserve">Wire transfer protocol with zero exceptions. Every wire above threshold requires verbal confirmation to a known, pre-established phone number. No exceptions for urgency or authority.</w:t>
      </w:r>
    </w:p>
    <w:p>
      <w:pPr>
        <w:pStyle w:val="ListParagraph"/>
        <w:numPr>
          <w:ilvl w:val="0"/>
          <w:numId w:val="11"/>
        </w:numPr>
        <w:spacing w:before="40" w:after="60"/>
      </w:pPr>
      <w:r>
        <w:rPr>
          <w:rFonts w:ascii="Arial" w:cs="Arial" w:eastAsia="Arial" w:hAnsi="Arial"/>
          <w:color w:val="2D2D2D"/>
          <w:sz w:val="22"/>
          <w:szCs w:val="22"/>
        </w:rPr>
        <w:t xml:space="preserve">Five-person inner circle — estate attorney, tax attorney, M&amp;A advisor, private banker, foundation administrator — each with verified contact protocol. Any communication outside established channel treated as unverified.</w:t>
      </w:r>
    </w:p>
    <w:p>
      <w:pPr>
        <w:pStyle w:val="ListParagraph"/>
        <w:numPr>
          <w:ilvl w:val="0"/>
          <w:numId w:val="11"/>
        </w:numPr>
        <w:spacing w:before="40" w:after="60"/>
      </w:pPr>
      <w:r>
        <w:rPr>
          <w:rFonts w:ascii="Arial" w:cs="Arial" w:eastAsia="Arial" w:hAnsi="Arial"/>
          <w:color w:val="2D2D2D"/>
          <w:sz w:val="22"/>
          <w:szCs w:val="22"/>
        </w:rPr>
        <w:t xml:space="preserve">Private banking only. JPMorgan Private Bank, Goldman Sachs Private Wealth, Citi Private Bank. Account information not accessible without court order.</w:t>
      </w:r>
    </w:p>
    <w:p>
      <w:pPr>
        <w:spacing w:before="120" w:after="0"/>
      </w:pPr>
    </w:p>
    <w:p>
      <w:pPr>
        <w:pStyle w:val="Heading2"/>
        <w:spacing w:before="260" w:after="100"/>
      </w:pPr>
      <w:r>
        <w:rPr>
          <w:rFonts w:ascii="Arial" w:cs="Arial" w:eastAsia="Arial" w:hAnsi="Arial"/>
          <w:b/>
          <w:bCs/>
          <w:color w:val="1565C0"/>
          <w:sz w:val="28"/>
          <w:szCs w:val="28"/>
        </w:rPr>
        <w:t xml:space="preserve">Digital Security</w:t>
      </w:r>
    </w:p>
    <w:p>
      <w:pPr>
        <w:pStyle w:val="ListParagraph"/>
        <w:numPr>
          <w:ilvl w:val="0"/>
          <w:numId w:val="5"/>
        </w:numPr>
        <w:spacing w:before="40" w:after="60"/>
      </w:pPr>
      <w:r>
        <w:rPr>
          <w:rFonts w:ascii="Arial" w:cs="Arial" w:eastAsia="Arial" w:hAnsi="Arial"/>
          <w:color w:val="2D2D2D"/>
          <w:sz w:val="22"/>
          <w:szCs w:val="22"/>
        </w:rPr>
        <w:t xml:space="preserve">Personal cybersecurity advisor — specialist in high-net-worth individual digital security.</w:t>
      </w:r>
    </w:p>
    <w:p>
      <w:pPr>
        <w:pStyle w:val="ListParagraph"/>
        <w:numPr>
          <w:ilvl w:val="0"/>
          <w:numId w:val="5"/>
        </w:numPr>
        <w:spacing w:before="40" w:after="60"/>
      </w:pPr>
      <w:r>
        <w:rPr>
          <w:rFonts w:ascii="Arial" w:cs="Arial" w:eastAsia="Arial" w:hAnsi="Arial"/>
          <w:color w:val="2D2D2D"/>
          <w:sz w:val="22"/>
          <w:szCs w:val="22"/>
        </w:rPr>
        <w:t xml:space="preserve">Hardware security keys for all critical accounts. No SMS two-factor authentication.</w:t>
      </w:r>
    </w:p>
    <w:p>
      <w:pPr>
        <w:pStyle w:val="ListParagraph"/>
        <w:numPr>
          <w:ilvl w:val="0"/>
          <w:numId w:val="5"/>
        </w:numPr>
        <w:spacing w:before="40" w:after="60"/>
      </w:pPr>
      <w:r>
        <w:rPr>
          <w:rFonts w:ascii="Arial" w:cs="Arial" w:eastAsia="Arial" w:hAnsi="Arial"/>
          <w:color w:val="2D2D2D"/>
          <w:sz w:val="22"/>
          <w:szCs w:val="22"/>
        </w:rPr>
        <w:t xml:space="preserve">Encrypted communications — Signal for personal, ProtonMail for sensitive email.</w:t>
      </w:r>
    </w:p>
    <w:p>
      <w:pPr>
        <w:pStyle w:val="ListParagraph"/>
        <w:numPr>
          <w:ilvl w:val="0"/>
          <w:numId w:val="5"/>
        </w:numPr>
        <w:spacing w:before="40" w:after="60"/>
      </w:pPr>
      <w:r>
        <w:rPr>
          <w:rFonts w:ascii="Arial" w:cs="Arial" w:eastAsia="Arial" w:hAnsi="Arial"/>
          <w:color w:val="2D2D2D"/>
          <w:sz w:val="22"/>
          <w:szCs w:val="22"/>
        </w:rPr>
        <w:t xml:space="preserve">Dedicated device for financial transactions only. No browsing, no apps, no email.</w:t>
      </w:r>
    </w:p>
    <w:p>
      <w:pPr>
        <w:pStyle w:val="ListParagraph"/>
        <w:numPr>
          <w:ilvl w:val="0"/>
          <w:numId w:val="5"/>
        </w:numPr>
        <w:spacing w:before="40" w:after="60"/>
      </w:pPr>
      <w:r>
        <w:rPr>
          <w:rFonts w:ascii="Arial" w:cs="Arial" w:eastAsia="Arial" w:hAnsi="Arial"/>
          <w:color w:val="2D2D2D"/>
          <w:sz w:val="22"/>
          <w:szCs w:val="22"/>
        </w:rPr>
        <w:t xml:space="preserve">Phone number privacy. Primary number not publicly associated with your name.</w:t>
      </w:r>
    </w:p>
    <w:p>
      <w:pPr>
        <w:spacing w:before="120" w:after="0"/>
      </w:pPr>
    </w:p>
    <w:p>
      <w:pPr>
        <w:pStyle w:val="Heading2"/>
        <w:spacing w:before="260" w:after="100"/>
      </w:pPr>
      <w:r>
        <w:rPr>
          <w:rFonts w:ascii="Arial" w:cs="Arial" w:eastAsia="Arial" w:hAnsi="Arial"/>
          <w:b/>
          <w:bCs/>
          <w:color w:val="1565C0"/>
          <w:sz w:val="28"/>
          <w:szCs w:val="28"/>
        </w:rPr>
        <w:t xml:space="preserve">Asset Privacy</w:t>
      </w:r>
    </w:p>
    <w:p>
      <w:pPr>
        <w:pStyle w:val="ListParagraph"/>
        <w:numPr>
          <w:ilvl w:val="0"/>
          <w:numId w:val="6"/>
        </w:numPr>
        <w:spacing w:before="40" w:after="60"/>
      </w:pPr>
      <w:r>
        <w:rPr>
          <w:rFonts w:ascii="Arial" w:cs="Arial" w:eastAsia="Arial" w:hAnsi="Arial"/>
          <w:color w:val="2D2D2D"/>
          <w:sz w:val="22"/>
          <w:szCs w:val="22"/>
        </w:rPr>
        <w:t xml:space="preserve">Real estate purchased through Wyoming or Delaware LLCs with neutral names. Your name never appears in deed or public record.</w:t>
      </w:r>
    </w:p>
    <w:p>
      <w:pPr>
        <w:pStyle w:val="ListParagraph"/>
        <w:numPr>
          <w:ilvl w:val="0"/>
          <w:numId w:val="6"/>
        </w:numPr>
        <w:spacing w:before="40" w:after="60"/>
      </w:pPr>
      <w:r>
        <w:rPr>
          <w:rFonts w:ascii="Arial" w:cs="Arial" w:eastAsia="Arial" w:hAnsi="Arial"/>
          <w:color w:val="2D2D2D"/>
          <w:sz w:val="22"/>
          <w:szCs w:val="22"/>
        </w:rPr>
        <w:t xml:space="preserve">Aircraft registered through a dry trust with neutral name. FAA registry shows trust, not individual.</w:t>
      </w:r>
    </w:p>
    <w:p>
      <w:pPr>
        <w:pStyle w:val="ListParagraph"/>
        <w:numPr>
          <w:ilvl w:val="0"/>
          <w:numId w:val="6"/>
        </w:numPr>
        <w:spacing w:before="40" w:after="60"/>
      </w:pPr>
      <w:r>
        <w:rPr>
          <w:rFonts w:ascii="Arial" w:cs="Arial" w:eastAsia="Arial" w:hAnsi="Arial"/>
          <w:color w:val="2D2D2D"/>
          <w:sz w:val="22"/>
          <w:szCs w:val="22"/>
        </w:rPr>
        <w:t xml:space="preserve">Vehicles registered to entity. Vessels registered through trust or favorable maritime registry.</w:t>
      </w:r>
    </w:p>
    <w:p>
      <w:pPr>
        <w:spacing w:before="120" w:after="0"/>
      </w:pPr>
    </w:p>
    <w:p>
      <w:pPr>
        <w:pStyle w:val="Heading2"/>
        <w:spacing w:before="260" w:after="100"/>
      </w:pPr>
      <w:r>
        <w:rPr>
          <w:rFonts w:ascii="Arial" w:cs="Arial" w:eastAsia="Arial" w:hAnsi="Arial"/>
          <w:b/>
          <w:bCs/>
          <w:color w:val="1565C0"/>
          <w:sz w:val="28"/>
          <w:szCs w:val="28"/>
        </w:rPr>
        <w:t xml:space="preserve">Family &amp; Friends — Wealth Distribution</w:t>
      </w:r>
    </w:p>
    <w:p>
      <w:pPr>
        <w:spacing w:before="60" w:after="100"/>
      </w:pPr>
      <w:r>
        <w:rPr>
          <w:rFonts w:ascii="Arial" w:cs="Arial" w:eastAsia="Arial" w:hAnsi="Arial"/>
          <w:color w:val="2D2D2D"/>
          <w:sz w:val="22"/>
          <w:szCs w:val="22"/>
        </w:rPr>
        <w:t xml:space="preserve">Gifts are never income to the recipient. The gift tax — if any — is always the giver's obligation. Proper structuring eliminates or minimizes gift tax entirely.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2040"/>
        <w:gridCol w:w="3120"/>
      </w:tblGrid>
      <w:tr>
        <w:tc>
          <w:tcPr>
            <w:tcW w:type="dxa" w:w="26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Tool</w:t>
            </w:r>
          </w:p>
        </w:tc>
        <w:tc>
          <w:tcPr>
            <w:tcW w:type="dxa" w:w="15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Tax to Recipient</w:t>
            </w:r>
          </w:p>
        </w:tc>
        <w:tc>
          <w:tcPr>
            <w:tcW w:type="dxa" w:w="2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Tax to Giver</w:t>
            </w:r>
          </w:p>
        </w:tc>
        <w:tc>
          <w:tcPr>
            <w:tcW w:type="dxa" w:w="312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Best For</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Annual gift exclusion ($18K/person/yr)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Ongoing cash transfers to any number of people</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Direct tuition payment</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Unlimited — paid directly to school</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Direct medical payment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Unlimited — paid directly to provider</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Family Limited Partnership (FLP)</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Low</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Discounted via 20-40% valuation discount</w:t>
            </w:r>
          </w:p>
        </w:tc>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Family — transferring wealth at discount</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Dynasty Trust (South Dakota)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Uses $13.61M lifetime exemption once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Multi-generational — compounds forever tax-free</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GRAT</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Near zero if structured correctly</w:t>
            </w:r>
          </w:p>
        </w:tc>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Transferring appreciating assets to heirs</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ILIT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Zero</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Premium via annual exclusion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Tax-free death benefit to heirs — unlimited size</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CRT</w:t>
            </w:r>
          </w:p>
        </w:tc>
        <w:tc>
          <w:tcPr>
            <w:tcW w:type="dxa" w:w="15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Partial</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Charitable deduction + cap gains deferral</w:t>
            </w:r>
          </w:p>
        </w:tc>
        <w:tc>
          <w:tcPr>
            <w:tcW w:type="dxa" w:w="31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Income to family for term, then to charity</w:t>
            </w:r>
          </w:p>
        </w:tc>
      </w:tr>
    </w:tbl>
    <w:p>
      <w:pPr>
        <w:spacing w:before="120" w:after="0"/>
      </w:pPr>
    </w:p>
    <w:p>
      <w:pPr>
        <w:pStyle w:val="Heading2"/>
        <w:spacing w:before="260" w:after="100"/>
      </w:pPr>
      <w:r>
        <w:rPr>
          <w:rFonts w:ascii="Arial" w:cs="Arial" w:eastAsia="Arial" w:hAnsi="Arial"/>
          <w:b/>
          <w:bCs/>
          <w:color w:val="1565C0"/>
          <w:sz w:val="28"/>
          <w:szCs w:val="28"/>
        </w:rPr>
        <w:t xml:space="preserve">Anonymous Foundation Giving</w:t>
      </w:r>
    </w:p>
    <w:p>
      <w:pPr>
        <w:spacing w:before="60" w:after="100"/>
      </w:pPr>
      <w:r>
        <w:rPr>
          <w:rFonts w:ascii="Arial" w:cs="Arial" w:eastAsia="Arial" w:hAnsi="Arial"/>
          <w:color w:val="2D2D2D"/>
          <w:sz w:val="22"/>
          <w:szCs w:val="22"/>
        </w:rPr>
        <w:t xml:space="preserve">A private foundation or Donor-Advised Fund enables completely anonymous ongoing giving to individuals and organizations. The foundation makes grants — not the individual. Grants carry the foundation name, not the founder's name. A DAF at Fidelity Charitable or Schwab Charitable allows grants marked simply as Anonymous Donor with no traceable connection.</w:t>
      </w:r>
    </w:p>
    <w:p>
      <w:pPr>
        <w:spacing w:before="80" w:after="0"/>
      </w:pPr>
    </w:p>
    <w:p>
      <w:pPr>
        <w:pStyle w:val="ListParagraph"/>
        <w:numPr>
          <w:ilvl w:val="0"/>
          <w:numId w:val="7"/>
        </w:numPr>
        <w:spacing w:before="40" w:after="60"/>
      </w:pPr>
      <w:r>
        <w:rPr>
          <w:rFonts w:ascii="Arial" w:cs="Arial" w:eastAsia="Arial" w:hAnsi="Arial"/>
          <w:color w:val="2D2D2D"/>
          <w:sz w:val="22"/>
          <w:szCs w:val="22"/>
        </w:rPr>
        <w:t xml:space="preserve">IRS-approved individual grant programs — once established, the program runs indefinitely without per-grant IRS approval. Scholarships, hardship assistance, fellowships, research grants.</w:t>
      </w:r>
    </w:p>
    <w:p>
      <w:pPr>
        <w:pStyle w:val="ListParagraph"/>
        <w:numPr>
          <w:ilvl w:val="0"/>
          <w:numId w:val="7"/>
        </w:numPr>
        <w:spacing w:before="40" w:after="60"/>
      </w:pPr>
      <w:r>
        <w:rPr>
          <w:rFonts w:ascii="Arial" w:cs="Arial" w:eastAsia="Arial" w:hAnsi="Arial"/>
          <w:color w:val="2D2D2D"/>
          <w:sz w:val="22"/>
          <w:szCs w:val="22"/>
        </w:rPr>
        <w:t xml:space="preserve">Tax gross-up — if a grant is taxable to recipient, the foundation can gross it up so they net the intended amount after their own taxes.</w:t>
      </w:r>
    </w:p>
    <w:p>
      <w:pPr>
        <w:pStyle w:val="ListParagraph"/>
        <w:numPr>
          <w:ilvl w:val="0"/>
          <w:numId w:val="7"/>
        </w:numPr>
        <w:spacing w:before="40" w:after="60"/>
      </w:pPr>
      <w:r>
        <w:rPr>
          <w:rFonts w:ascii="Arial" w:cs="Arial" w:eastAsia="Arial" w:hAnsi="Arial"/>
          <w:color w:val="2D2D2D"/>
          <w:sz w:val="22"/>
          <w:szCs w:val="22"/>
        </w:rPr>
        <w:t xml:space="preserve">Minimum 5% annual distribution on foundation assets. On a $5.7B foundation: $285M/year minimum leaving the foundation.</w:t>
      </w:r>
    </w:p>
    <w:p>
      <w:pPr>
        <w:pStyle w:val="ListParagraph"/>
        <w:numPr>
          <w:ilvl w:val="0"/>
          <w:numId w:val="7"/>
        </w:numPr>
        <w:spacing w:before="40" w:after="60"/>
      </w:pPr>
      <w:r>
        <w:rPr>
          <w:rFonts w:ascii="Arial" w:cs="Arial" w:eastAsia="Arial" w:hAnsi="Arial"/>
          <w:color w:val="2D2D2D"/>
          <w:sz w:val="22"/>
          <w:szCs w:val="22"/>
        </w:rPr>
        <w:t xml:space="preserve">Foundation assets grow tax-free inside the structure. $5.7B at 7% over 20 years becomes $22B in philanthropic capital.</w:t>
      </w:r>
    </w:p>
    <w:p>
      <w:pPr>
        <w:pStyle w:val="ListParagraph"/>
        <w:numPr>
          <w:ilvl w:val="0"/>
          <w:numId w:val="7"/>
        </w:numPr>
        <w:spacing w:before="40" w:after="60"/>
      </w:pPr>
      <w:r>
        <w:rPr>
          <w:rFonts w:ascii="Arial" w:cs="Arial" w:eastAsia="Arial" w:hAnsi="Arial"/>
          <w:color w:val="2D2D2D"/>
          <w:sz w:val="22"/>
          <w:szCs w:val="22"/>
        </w:rPr>
        <w:t xml:space="preserve">Fiscal sponsorship for maximum anonymity — foundation grants to a 501(c)(3) intermediary which funds individuals directly. Foundation name does not reach recipient.</w:t>
      </w:r>
    </w:p>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9 — Operational Structure</w:t>
      </w:r>
    </w:p>
    <w:p>
      <w:pPr>
        <w:pBdr>
          <w:bottom w:val="single" w:color="0D2E6E" w:sz="6" w:space="1"/>
        </w:pBdr>
        <w:spacing w:before="0" w:after="180"/>
      </w:pPr>
    </w:p>
    <w:p>
      <w:pPr>
        <w:spacing w:before="60" w:after="100"/>
      </w:pPr>
      <w:r>
        <w:rPr>
          <w:rFonts w:ascii="Arial" w:cs="Arial" w:eastAsia="Arial" w:hAnsi="Arial"/>
          <w:color w:val="2D2D2D"/>
          <w:sz w:val="22"/>
          <w:szCs w:val="22"/>
        </w:rPr>
        <w:t xml:space="preserve">Peepl operates with a 26-person team under a public-facing CEO — the puppet — who presents the company externally while the beneficial owner operates invisibly through the entity structure. The product is engineered to run at scale without proportional headcount growth. 26 people build a $112B company because the geofence trigger generates content, the merchant portal is self-serve, the feed is algorithmic, and the infrastructure is cloud-based.</w:t>
      </w:r>
    </w:p>
    <w:p>
      <w:pPr>
        <w:spacing w:before="120" w:after="0"/>
      </w:pPr>
    </w:p>
    <w:p>
      <w:pPr>
        <w:pStyle w:val="Heading2"/>
        <w:spacing w:before="260" w:after="100"/>
      </w:pPr>
      <w:r>
        <w:rPr>
          <w:rFonts w:ascii="Arial" w:cs="Arial" w:eastAsia="Arial" w:hAnsi="Arial"/>
          <w:b/>
          <w:bCs/>
          <w:color w:val="1565C0"/>
          <w:sz w:val="28"/>
          <w:szCs w:val="28"/>
        </w:rPr>
        <w:t xml:space="preserve">The Puppet CEO Structure</w:t>
      </w:r>
    </w:p>
    <w:p>
      <w:pPr>
        <w:spacing w:before="60" w:after="100"/>
      </w:pPr>
      <w:r>
        <w:rPr>
          <w:rFonts w:ascii="Arial" w:cs="Arial" w:eastAsia="Arial" w:hAnsi="Arial"/>
          <w:color w:val="2D2D2D"/>
          <w:sz w:val="22"/>
          <w:szCs w:val="22"/>
        </w:rPr>
        <w:t xml:space="preserve">The CEO is the face — press, merchant relationships, industry conferences, the acquisition press release. They have operational authority delegated by the operating agreement. The beneficial owner retains ultimate authority as sole member of Peepl LLC — power to hire, fire, approve major transactions, and determine direction — without that authority being publicly visible.</w:t>
      </w:r>
    </w:p>
    <w:p>
      <w:pPr>
        <w:spacing w:before="80" w:after="0"/>
      </w:pPr>
    </w:p>
    <w:p>
      <w:pPr>
        <w:spacing w:before="60" w:after="100"/>
      </w:pPr>
      <w:r>
        <w:rPr>
          <w:rFonts w:ascii="Arial" w:cs="Arial" w:eastAsia="Arial" w:hAnsi="Arial"/>
          <w:color w:val="2D2D2D"/>
          <w:sz w:val="22"/>
          <w:szCs w:val="22"/>
        </w:rPr>
        <w:t xml:space="preserve">Every member of the leadership team signs a confidentiality agreement specifically covering the identity of the beneficial owner. Not a standard NDA — a specific enforceable provision that disclosure is a material breach with significant financial consequences. The CEO's equity allocation of 3% worth $3.36B at exit is the most powerful confidentiality mechanism that exists. No one with $3.36B on the line says anything to anyone.</w:t>
      </w:r>
    </w:p>
    <w:p>
      <w:pPr>
        <w:spacing w:before="120" w:after="0"/>
      </w:pPr>
    </w:p>
    <w:p>
      <w:pPr>
        <w:pStyle w:val="Heading2"/>
        <w:spacing w:before="260" w:after="100"/>
      </w:pPr>
      <w:r>
        <w:rPr>
          <w:rFonts w:ascii="Arial" w:cs="Arial" w:eastAsia="Arial" w:hAnsi="Arial"/>
          <w:b/>
          <w:bCs/>
          <w:color w:val="1565C0"/>
          <w:sz w:val="28"/>
          <w:szCs w:val="28"/>
        </w:rPr>
        <w:t xml:space="preserve">26-Person Org Structure — Market Rate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1200"/>
        <w:gridCol w:w="1200"/>
        <w:gridCol w:w="1160"/>
        <w:gridCol w:w="2320"/>
      </w:tblGrid>
      <w:tr>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Dept</w:t>
            </w:r>
          </w:p>
        </w:tc>
        <w:tc>
          <w:tcPr>
            <w:tcW w:type="dxa" w:w="20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Role</w:t>
            </w:r>
          </w:p>
        </w:tc>
        <w:tc>
          <w:tcPr>
            <w:tcW w:type="dxa" w:w="12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Base Salary</w:t>
            </w:r>
          </w:p>
        </w:tc>
        <w:tc>
          <w:tcPr>
            <w:tcW w:type="dxa" w:w="12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 Cash</w:t>
            </w:r>
          </w:p>
        </w:tc>
        <w:tc>
          <w:tcPr>
            <w:tcW w:type="dxa" w:w="11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Formal Equity</w:t>
            </w:r>
          </w:p>
        </w:tc>
        <w:tc>
          <w:tcPr>
            <w:tcW w:type="dxa" w:w="232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Exit @ $112B</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Leadership</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$813K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$1.14M</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3.000%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$3.36B</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Leadership</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CTO</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$688K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$929K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2.000%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$2.24B</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Leadership</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COO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$600K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$780K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1.500%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$1.68B</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Product &amp; Eng.</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Lead Mobile Engineer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$400K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$480K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0.500%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$560M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Product &amp; Eng.</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Backend Engineer x2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$363K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$436K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0.400%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$448M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Product &amp; Eng.</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$388K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$466K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0.400%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$448M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Product &amp; Eng.</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ML / AI Engineer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$425K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$510K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0.500%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$560M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Product &amp; Eng.</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Frontend / Web Engineer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$350K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$420K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0.300%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$336M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Product &amp; Eng.</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QA Engineer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$275K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$316K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0.100%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$112M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Product &amp; Eng.</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DevOps / Infrastructure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$388K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$466K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0.400%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$448M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Growth &amp; Merchant</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Head of Growth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$400K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$500K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0.600%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$672M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Growth &amp; Merchant</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Merchant Success Mgr x2</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$225K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$270K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0.100%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$112M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Growth &amp; Merchant</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Community Manager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$200K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$230K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0.100%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$112M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Revenue &amp; Partners</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Head of Revenue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$475K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$618K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0.800%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$896M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Revenue &amp; Partners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B2B Data Sales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$350K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$455K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0.300%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$336M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Revenue &amp; Partners</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Partnerships Manager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$275K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$344K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0.200%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$224M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Finance &amp; Legal</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CFO / Finance Lead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$563K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$732K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0.800%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$896M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Finance &amp; Legal</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General Counsel</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$525K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$656K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0.800%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$896M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Finance &amp; Legal</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Finance Associate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$200K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$230K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Operations</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Head of People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$300K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$360K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0.200%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$224M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Operations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EA to CEO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$175K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$201K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Operations</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Office / Ops Manager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$150K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$173K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None</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Security</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Trust &amp; Safety Lead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$325K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$390K</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0.200%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$224M</w:t>
            </w:r>
          </w:p>
        </w:tc>
      </w:tr>
      <w:tr>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Security</w:t>
            </w:r>
          </w:p>
        </w:tc>
        <w:tc>
          <w:tcPr>
            <w:tcW w:type="dxa" w:w="20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CISO</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$563K</w:t>
            </w:r>
          </w:p>
        </w:tc>
        <w:tc>
          <w:tcPr>
            <w:tcW w:type="dxa" w:w="1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$704K</w:t>
            </w:r>
          </w:p>
        </w:tc>
        <w:tc>
          <w:tcPr>
            <w:tcW w:type="dxa" w:w="1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0.500%</w:t>
            </w:r>
          </w:p>
        </w:tc>
        <w:tc>
          <w:tcPr>
            <w:tcW w:type="dxa" w:w="2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$560M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TOTALS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26 people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$8.94M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$12.22M</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5.82%</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$6.52B</w:t>
            </w:r>
          </w:p>
        </w:tc>
      </w:tr>
    </w:tbl>
    <w:p>
      <w:pPr>
        <w:spacing w:before="120" w:after="0"/>
      </w:pPr>
    </w:p>
    <w:p>
      <w:pPr>
        <w:pStyle w:val="Heading2"/>
        <w:spacing w:before="260" w:after="100"/>
      </w:pPr>
      <w:r>
        <w:rPr>
          <w:rFonts w:ascii="Arial" w:cs="Arial" w:eastAsia="Arial" w:hAnsi="Arial"/>
          <w:b/>
          <w:bCs/>
          <w:color w:val="1565C0"/>
          <w:sz w:val="28"/>
          <w:szCs w:val="28"/>
        </w:rPr>
        <w:t xml:space="preserve">Equity Pool Structure</w:t>
      </w:r>
    </w:p>
    <w:p>
      <w:pPr>
        <w:spacing w:before="60" w:after="100"/>
      </w:pPr>
      <w:r>
        <w:rPr>
          <w:rFonts w:ascii="Arial" w:cs="Arial" w:eastAsia="Arial" w:hAnsi="Arial"/>
          <w:color w:val="2D2D2D"/>
          <w:sz w:val="22"/>
          <w:szCs w:val="22"/>
        </w:rPr>
        <w:t xml:space="preserve">Formal equity pool: 5.82% — defined in the operating agreement, granted at hire, four-year vest with one-year cliff. Discretionary pool: 5% — held by the beneficial owner, unallocated, dispensed by board resolution at sole discretion for performance, retention, new hire sweeteners, or loyalty recognition. Total management pool: 10.82%.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760"/>
        <w:gridCol w:w="3520"/>
      </w:tblGrid>
      <w:tr>
        <w:tc>
          <w:tcPr>
            <w:tcW w:type="dxa" w:w="26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Pool</w:t>
            </w:r>
          </w:p>
        </w:tc>
        <w:tc>
          <w:tcPr>
            <w:tcW w:type="dxa" w:w="144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Percentage</w:t>
            </w:r>
          </w:p>
        </w:tc>
        <w:tc>
          <w:tcPr>
            <w:tcW w:type="dxa" w:w="17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Value @ $112B Exit</w:t>
            </w:r>
          </w:p>
        </w:tc>
        <w:tc>
          <w:tcPr>
            <w:tcW w:type="dxa" w:w="352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Nature</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Formal equity pool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5.82%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$6.52B</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Defined in operating agreement — granted at hire</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Discretionary pool</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5.00%</w:t>
            </w:r>
          </w:p>
        </w:tc>
        <w:tc>
          <w:tcPr>
            <w:tcW w:type="dxa" w:w="1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$5.60B</w:t>
            </w:r>
          </w:p>
        </w:tc>
        <w:tc>
          <w:tcPr>
            <w:tcW w:type="dxa" w:w="3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Owner-held — dispensed at will by board resolution</w:t>
            </w:r>
          </w:p>
        </w:tc>
      </w:tr>
      <w:tr>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Total management pool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10.82%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$12.12B</w:t>
            </w:r>
          </w:p>
        </w:tc>
        <w:tc>
          <w:tcPr>
            <w:tcW w:type="dxa" w:w="3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Combined — all management and discretionary</w:t>
            </w:r>
          </w:p>
        </w:tc>
      </w:tr>
      <w:tr>
        <w:tc>
          <w:tcPr>
            <w:tcW w:type="dxa" w:w="26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Your retained equity</w:t>
            </w:r>
          </w:p>
        </w:tc>
        <w:tc>
          <w:tcPr>
            <w:tcW w:type="dxa" w:w="144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40.18%</w:t>
            </w:r>
          </w:p>
        </w:tc>
        <w:tc>
          <w:tcPr>
            <w:tcW w:type="dxa" w:w="17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$45.0B</w:t>
            </w:r>
          </w:p>
        </w:tc>
        <w:tc>
          <w:tcPr>
            <w:tcW w:type="dxa" w:w="3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From your 51% stake after all pools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2E6E" w:val="clear"/>
            <w:tcMar>
              <w:top w:type="dxa" w:w="0"/>
              <w:left w:type="dxa" w:w="0"/>
              <w:bottom w:type="dxa" w:w="0"/>
              <w:right w:type="dxa" w:w="0"/>
            </w:tcMar>
          </w:tcPr>
          <w:p/>
        </w:tc>
        <w:tc>
          <w:tcPr>
            <w:tcW w:type="dxa" w:w="9120"/>
            <w:tcBorders>
              <w:top w:val="none" w:color="FFFFFF" w:sz="0"/>
              <w:left w:val="none" w:color="FFFFFF" w:sz="0"/>
              <w:bottom w:val="none" w:color="FFFFFF" w:sz="0"/>
              <w:right w:val="none" w:color="FFFFFF" w:sz="0"/>
            </w:tcBorders>
            <w:shd w:fill="E6F4EC" w:val="clear"/>
            <w:tcMar>
              <w:top w:type="dxa" w:w="160"/>
              <w:left w:type="dxa" w:w="220"/>
              <w:bottom w:type="dxa" w:w="160"/>
              <w:right w:type="dxa" w:w="220"/>
            </w:tcMar>
          </w:tcPr>
          <w:p>
            <w:r>
              <w:rPr>
                <w:rFonts w:ascii="Arial" w:cs="Arial" w:eastAsia="Arial" w:hAnsi="Arial"/>
                <w:color w:val="1A7A3C"/>
                <w:sz w:val="22"/>
                <w:szCs w:val="22"/>
              </w:rPr>
              <w:t xml:space="preserve">Total fully-loaded annual payroll at market rate plus 25%: $14.7M per year. This is covered by programmatic revenue alone within the first months of operation at 1M MAU. The team cost is operationally invisible relative to the revenue profile it generates.</w:t>
            </w:r>
          </w:p>
        </w:tc>
      </w:tr>
    </w:tbl>
    <w:p>
      <w:pPr>
        <w:spacing w:before="80" w:after="0"/>
      </w:pPr>
    </w:p>
    <w:p>
      <w:r>
        <w:br w:type="page"/>
      </w:r>
    </w:p>
    <w:p>
      <w:pPr>
        <w:pStyle w:val="Heading1"/>
        <w:spacing w:before="360" w:after="120"/>
      </w:pPr>
      <w:r>
        <w:rPr>
          <w:rFonts w:ascii="Arial" w:cs="Arial" w:eastAsia="Arial" w:hAnsi="Arial"/>
          <w:b/>
          <w:bCs/>
          <w:color w:val="0D2E6E"/>
          <w:sz w:val="36"/>
          <w:szCs w:val="36"/>
        </w:rPr>
        <w:t xml:space="preserve">Section 10 — Summary: The Full Picture</w:t>
      </w:r>
    </w:p>
    <w:p>
      <w:pPr>
        <w:pBdr>
          <w:bottom w:val="single" w:color="0D2E6E" w:sz="6" w:space="1"/>
        </w:pBd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Topic</w:t>
            </w:r>
          </w:p>
        </w:tc>
        <w:tc>
          <w:tcPr>
            <w:tcW w:type="dxa" w:w="6160"/>
            <w:tcBorders>
              <w:top w:val="single" w:color="CCCCCC" w:sz="1"/>
              <w:left w:val="single" w:color="CCCCCC" w:sz="1"/>
              <w:bottom w:val="single" w:color="CCCCCC" w:sz="1"/>
              <w:right w:val="single" w:color="CCCCCC" w:sz="1"/>
            </w:tcBorders>
            <w:shd w:fill="0D2E6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The Number / The Decision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Acquisition target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$112B cash — floor $90B, target $112B, bidding war $165B+</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Your ownership</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51% — gross proceeds $57.12B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Tax — no planning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$16.73B (29.29% rate) — net $40.39B</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Tax — FL + foundation</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$12.01B — personal net $39.40B + $5.71B foundation = $45.11B controlled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Annual interest income (net)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$1.04B/yr on Treasury ladder — $86.7M/month — zero risk</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Optimized investment income</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$2.02B/yr at ~10% effective rate — additional $980M vs. no planning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Post-acq revenue (250M MAU)</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$20.3B annually — asset value $304B at 15x</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Post-acq revenue (500M MAU)</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$50.5B annually — asset value $757B at 15x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Team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26 people — market rate +25% — fully loaded $14.7M/yr</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Formal equity pool</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5.82% — $6.52B at exit — 4-yr vest, 1-yr cliff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Discretionary equity pool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5.00% — $5.60B at exit — owner dispenses at will</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Entity structure</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You &gt; Mulholland Trust &gt; Axis Strategic Holdings &gt; Peepl LLC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Charter immediately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Peepl LLC (Delaware) + Axis Labs LLC (Delaware)</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Timeline to 100M MAU</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8-10 years — stealth city-by-city organic growth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Key stealth rule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No press, no VC, no announcement until you choose</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Acquisition framing</w:t>
            </w:r>
          </w:p>
        </w:tc>
        <w:tc>
          <w:tcPr>
            <w:tcW w:type="dxa" w:w="6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rFonts w:ascii="Arial" w:cs="Arial" w:eastAsia="Arial" w:hAnsi="Arial"/>
                <w:color w:val="2D2D2D"/>
                <w:sz w:val="20"/>
                <w:szCs w:val="20"/>
              </w:rPr>
              <w:t xml:space="preserve">Buyer pays for what it becomes in their hands — not what it is today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The negotiating position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2D2D"/>
                <w:sz w:val="20"/>
                <w:szCs w:val="20"/>
              </w:rPr>
              <w:t xml:space="preserve">Cash at close. Walk away if the number is wrong. You do not need the deal.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2E6E" w:val="clear"/>
            <w:tcMar>
              <w:top w:type="dxa" w:w="0"/>
              <w:left w:type="dxa" w:w="0"/>
              <w:bottom w:type="dxa" w:w="0"/>
              <w:right w:type="dxa" w:w="0"/>
            </w:tcMar>
          </w:tcPr>
          <w:p/>
        </w:tc>
        <w:tc>
          <w:tcPr>
            <w:tcW w:type="dxa" w:w="9120"/>
            <w:tcBorders>
              <w:top w:val="none" w:color="FFFFFF" w:sz="0"/>
              <w:left w:val="none" w:color="FFFFFF" w:sz="0"/>
              <w:bottom w:val="none" w:color="FFFFFF" w:sz="0"/>
              <w:right w:val="none" w:color="FFFFFF" w:sz="0"/>
            </w:tcBorders>
            <w:shd w:fill="E8F0FD" w:val="clear"/>
            <w:tcMar>
              <w:top w:type="dxa" w:w="160"/>
              <w:left w:type="dxa" w:w="220"/>
              <w:bottom w:type="dxa" w:w="160"/>
              <w:right w:type="dxa" w:w="220"/>
            </w:tcMar>
          </w:tcPr>
          <w:p>
            <w:r>
              <w:rPr>
                <w:rFonts w:ascii="Arial" w:cs="Arial" w:eastAsia="Arial" w:hAnsi="Arial"/>
                <w:color w:val="0D2E6E"/>
                <w:sz w:val="22"/>
                <w:szCs w:val="22"/>
              </w:rPr>
              <w:t xml:space="preserve">The sentence that closes the deal: You are not buying a business you have to grow. You are buying a business that is already growing, that you are acquiring at the bottom of its steepest curve, and that generates irreplaceable real-time global crowd data that compounds in value every single day regardless of what you do with it. The question is not whether it is worth $112 billion. The question is whether you can afford to let someone else own it.</w:t>
            </w:r>
          </w:p>
        </w:tc>
      </w:tr>
    </w:tbl>
    <w:p>
      <w:pPr>
        <w:spacing w:before="120" w:after="0"/>
      </w:pPr>
    </w:p>
    <w:p>
      <w:pPr>
        <w:spacing w:before="60" w:after="100"/>
      </w:pPr>
      <w:r>
        <w:rPr>
          <w:rFonts w:ascii="Arial" w:cs="Arial" w:eastAsia="Arial" w:hAnsi="Arial"/>
          <w:i/>
          <w:iCs/>
          <w:color w:val="6B6B6B"/>
          <w:sz w:val="18"/>
          <w:szCs w:val="18"/>
        </w:rPr>
        <w:t xml:space="preserve">This report is strictly confidential and prepared for internal strategic planning purposes only. All projections, valuations, and tax estimates are based on current market benchmarks and comparable analysis. Actual results will vary. This document does not constitute legal, tax, or financial advice. Engage qualified professional advisors before acting on any information contained herein.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E6E" w:sz="4" w:space="1"/>
      </w:pBdr>
      <w:spacing w:before="100" w:after="0"/>
    </w:pPr>
    <w:r>
      <w:rPr>
        <w:rFonts w:ascii="Arial" w:cs="Arial" w:eastAsia="Arial" w:hAnsi="Arial"/>
        <w:color w:val="999999"/>
        <w:sz w:val="17"/>
        <w:szCs w:val="17"/>
      </w:rPr>
      <w:t xml:space="preserve">Strictly Confidential  |  For Internal Use Only  |  Peepl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E6E" w:sz="4" w:space="1"/>
      </w:pBdr>
      <w:tabs>
        <w:tab w:val="right" w:pos="9360"/>
      </w:tabs>
      <w:spacing w:before="0" w:after="140"/>
    </w:pPr>
    <w:r>
      <w:rPr>
        <w:rFonts w:ascii="Arial" w:cs="Arial" w:eastAsia="Arial" w:hAnsi="Arial"/>
        <w:b/>
        <w:bCs/>
        <w:color w:val="0D2E6E"/>
        <w:sz w:val="17"/>
        <w:szCs w:val="17"/>
      </w:rPr>
      <w:t xml:space="preserve">PEEPL  |  MASTER STRATEGIC REPORT</w:t>
    </w:r>
    <w:r>
      <w:rPr>
        <w:rFonts w:ascii="Arial" w:cs="Arial" w:eastAsia="Arial" w:hAnsi="Arial"/>
        <w:color w:val="999999"/>
        <w:sz w:val="17"/>
        <w:szCs w:val="17"/>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bullet"/>
      <w:lvlText w:val="•"/>
      <w:lvlJc w:val="left"/>
      <w:pPr>
        <w:ind w:left="560" w:hanging="280"/>
      </w:pPr>
    </w:lvl>
  </w:abstractNum>
  <w:abstractNum w:abstractNumId="6" w15:restartNumberingAfterBreak="0">
    <w:multiLevelType w:val="hybridMultilevel"/>
    <w:lvl w:ilvl="0" w15:tentative="1">
      <w:start w:val="1"/>
      <w:numFmt w:val="bullet"/>
      <w:lvlText w:val="•"/>
      <w:lvlJc w:val="left"/>
      <w:pPr>
        <w:ind w:left="560" w:hanging="280"/>
      </w:pPr>
    </w:lvl>
  </w:abstractNum>
  <w:abstractNum w:abstractNumId="7" w15:restartNumberingAfterBreak="0">
    <w:multiLevelType w:val="hybridMultilevel"/>
    <w:lvl w:ilvl="0" w15:tentative="1">
      <w:start w:val="1"/>
      <w:numFmt w:val="bullet"/>
      <w:lvlText w:val="•"/>
      <w:lvlJc w:val="left"/>
      <w:pPr>
        <w:ind w:left="560" w:hanging="280"/>
      </w:pPr>
    </w:lvl>
  </w:abstractNum>
  <w:abstractNum w:abstractNumId="8" w15:restartNumberingAfterBreak="0">
    <w:multiLevelType w:val="hybridMultilevel"/>
    <w:lvl w:ilvl="0" w15:tentative="1">
      <w:start w:val="1"/>
      <w:numFmt w:val="bullet"/>
      <w:lvlText w:val="•"/>
      <w:lvlJc w:val="left"/>
      <w:pPr>
        <w:ind w:left="560" w:hanging="280"/>
      </w:pPr>
    </w:lvl>
  </w:abstractNum>
  <w:abstractNum w:abstractNumId="9" w15:restartNumberingAfterBreak="0">
    <w:multiLevelType w:val="hybridMultilevel"/>
    <w:lvl w:ilvl="0" w15:tentative="1">
      <w:start w:val="1"/>
      <w:numFmt w:val="bullet"/>
      <w:lvlText w:val="•"/>
      <w:lvlJc w:val="left"/>
      <w:pPr>
        <w:ind w:left="560" w:hanging="28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2E6E"/>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2026-03-22T15:26:53.956Z</dcterms:created>
  <dcterms:modified xsi:type="dcterms:W3CDTF">2026-03-22T15:26:53.957Z</dcterms:modified>
</cp:coreProperties>
</file>

<file path=docProps/custom.xml><?xml version="1.0" encoding="utf-8"?>
<Properties xmlns="http://schemas.openxmlformats.org/officeDocument/2006/custom-properties" xmlns:vt="http://schemas.openxmlformats.org/officeDocument/2006/docPropsVTypes"/>
</file>