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Big</w:t>
      </w:r>
      <w:r>
        <w:t xml:space="preserve"> </w:t>
      </w:r>
      <w:r>
        <w:t xml:space="preserve">Bee</w:t>
      </w:r>
      <w:r>
        <w:t xml:space="preserve"> </w:t>
      </w:r>
      <w:r>
        <w:t xml:space="preserve">Interaction</w:t>
      </w:r>
      <w:r>
        <w:t xml:space="preserve"> </w:t>
      </w:r>
      <w:r>
        <w:t xml:space="preserve">Database</w:t>
      </w:r>
    </w:p>
    <w:p>
      <w:pPr>
        <w:pStyle w:val="Author"/>
      </w:pPr>
      <w:r>
        <w:t xml:space="preserve">Seltmann,</w:t>
      </w:r>
      <w:r>
        <w:t xml:space="preserve"> </w:t>
      </w:r>
      <w:r>
        <w:t xml:space="preserve">KC</w:t>
      </w:r>
    </w:p>
    <w:p>
      <w:pPr>
        <w:pStyle w:val="Author"/>
      </w:pPr>
      <w:r>
        <w:t xml:space="preserve">Gary</w:t>
      </w:r>
      <w:r>
        <w:t xml:space="preserve"> </w:t>
      </w:r>
      <w:r>
        <w:t xml:space="preserve">the</w:t>
      </w:r>
      <w:r>
        <w:t xml:space="preserve"> </w:t>
      </w:r>
      <w:r>
        <w:t xml:space="preserve">Dog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my</w:t>
      </w:r>
      <w:r>
        <w:t xml:space="preserve"> </w:t>
      </w:r>
      <w:r>
        <w:t xml:space="preserve">abstract</w:t>
      </w:r>
    </w:p>
    <w:bookmarkStart w:id="23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is the introduction. According to</w:t>
      </w:r>
      <w:r>
        <w:t xml:space="preserve"> </w:t>
      </w:r>
      <w:r>
        <w:t xml:space="preserve">(Rahal et al. 2023)</w:t>
      </w:r>
      <w:r>
        <w:t xml:space="preserve">, all dogs are created equal.</w:t>
      </w:r>
    </w:p>
    <w:p>
      <w:pPr>
        <w:pStyle w:val="CaptionedFigure"/>
      </w:pPr>
      <w:r>
        <w:drawing>
          <wp:inline>
            <wp:extent cx="1155700" cy="1041400"/>
            <wp:effectExtent b="0" l="0" r="0" t="0"/>
            <wp:docPr descr="this is Gary the dog" title="" id="21" name="Picture"/>
            <a:graphic>
              <a:graphicData uri="http://schemas.openxmlformats.org/drawingml/2006/picture">
                <pic:pic>
                  <pic:nvPicPr>
                    <pic:cNvPr descr="./figures/gary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this is Gary the dog</w:t>
      </w:r>
    </w:p>
    <w:bookmarkEnd w:id="23"/>
    <w:bookmarkStart w:id="26" w:name="methods"/>
    <w:p>
      <w:pPr>
        <w:pStyle w:val="Heading1"/>
      </w:pPr>
      <w:r>
        <w:t xml:space="preserve">Methods</w:t>
      </w:r>
    </w:p>
    <w:p>
      <w:pPr>
        <w:pStyle w:val="TableCaption"/>
      </w:pPr>
      <w:r>
        <w:t xml:space="preserve">This is my table caption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his is my table caption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reference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associatedSequences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https://cch2.org/portal/collections/individual/index.php?occid=163984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Test, Test, URL test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https://cch2.org/portal/collections/individual/index.php?occid=166203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GenBank Record, Angelica hendersonii voucher Tracey &amp; V. Call 2490 (OBI09031) internal transcribed spacer 1, 5.8S ribosomal RNA gene, and internal transcribed spacer 2, complete sequence., https://www.ncbi.nlm.nih.gov/nuccore/MT735455|GenBank Record, Angelica hendersonii Tracey &amp; V. Call 2490 (OBI09031) ndhF-rpl32 intergenic spacer, partial sequence., https://www.ncbi.nlm.nih.gov/nuccore/MT765790|GenBank Record, Angelica hendersonii Tracey &amp; V. Call 2490 (OBI09031) tRNA-Asp (trnD-GUC), tRNA-Tyr (trnY-GUA), tRNA-Glu (trnE-UUC), and tRNA-Thr (trnT-GGU) genes, complete sequence., https://www.ncbi.nlm.nih.gov/nuccore/MT765975|GenBank Record, Angelica hendersonii Tracey &amp; V. Call 2490 (OBI09031) rpl32-trnL intergenic spacer and tRNA-Leu (trnL) gene, partial sequence., https://www.ncbi.nlm.nih.gov/nuccore/MT766140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https://cch2.org/portal/collections/individual/index.php?occid=166204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GenBank Record, Angelica hendersonii voucher Tracey &amp; V. Call 2071 (OBI09030) internal transcribed spacer 1, 5.8S ribosomal RNA gene, and internal transcribed spacer 2, complete sequence., https://www.ncbi.nlm.nih.gov/nuccore/MT735454|GenBank Record, Angelica hendersonii Tracey &amp; V. Call 2071 (OBI09030) ndhF-rpl32 intergenic spacer, partial sequence., https://www.ncbi.nlm.nih.gov/nuccore/MT765781|GenBank Record, Angelica hendersonii Tracey &amp; V. Call 2071 (OBI09030) tRNA-Asp (trnD-GUC), tRNA-Tyr (trnY-GUA), tRNA-Glu (trnE-UUC), and tRNA-Thr (trnT-GGU) genes, complete sequence., https://www.ncbi.nlm.nih.gov/nuccore/MT765974|GenBank Record, Angelica hendersonii Tracey &amp; V. Call 2071 (OBI09030) rpl32-trnL intergenic spacer and tRNA-Leu (trnL) gene, partial sequence., https://www.ncbi.nlm.nih.gov/nuccore/MT766139</w:t>
            </w:r>
          </w:p>
        </w:tc>
      </w:tr>
    </w:tbl>
    <w:p>
      <w:pPr>
        <w:pStyle w:val="CaptionedFigure"/>
      </w:pPr>
      <w:r>
        <w:drawing>
          <wp:inline>
            <wp:extent cx="1155700" cy="1041400"/>
            <wp:effectExtent b="0" l="0" r="0" t="0"/>
            <wp:docPr descr="this is Gary the dog" title="" id="24" name="Picture"/>
            <a:graphic>
              <a:graphicData uri="http://schemas.openxmlformats.org/drawingml/2006/picture">
                <pic:pic>
                  <pic:nvPicPr>
                    <pic:cNvPr descr="./figures/gary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this is Gary the dog</w:t>
      </w:r>
    </w:p>
    <w:bookmarkEnd w:id="26"/>
    <w:bookmarkStart w:id="27" w:name="results"/>
    <w:p>
      <w:pPr>
        <w:pStyle w:val="Heading1"/>
      </w:pPr>
      <w:r>
        <w:t xml:space="preserve">Results</w:t>
      </w:r>
    </w:p>
    <w:bookmarkEnd w:id="27"/>
    <w:bookmarkStart w:id="28" w:name="discussion"/>
    <w:p>
      <w:pPr>
        <w:pStyle w:val="Heading1"/>
      </w:pPr>
      <w:r>
        <w:t xml:space="preserve">Discussion</w:t>
      </w:r>
    </w:p>
    <w:bookmarkEnd w:id="28"/>
    <w:bookmarkStart w:id="32" w:name="bibliography"/>
    <w:p>
      <w:pPr>
        <w:pStyle w:val="Heading1"/>
      </w:pPr>
      <w:r>
        <w:t xml:space="preserve">References</w:t>
      </w:r>
    </w:p>
    <w:bookmarkStart w:id="31" w:name="refs"/>
    <w:bookmarkStart w:id="30" w:name="ref-Rahal_2023"/>
    <w:p>
      <w:pPr>
        <w:pStyle w:val="Bibliography"/>
      </w:pPr>
      <w:r>
        <w:t xml:space="preserve">Rahal, Rima-Maria, Susann Fiedler, Adeyemi Adetula, Ronnie P.-A. Berntsson, Ulrich Dirnagl, Gordon B. Feld, Christian J. Fiebach, et al. 2023.</w:t>
      </w:r>
      <w:r>
        <w:t xml:space="preserve"> </w:t>
      </w:r>
      <w:r>
        <w:t xml:space="preserve">“Quality Research Needs Good Working Conditions.”</w:t>
      </w:r>
      <w:r>
        <w:t xml:space="preserve"> </w:t>
      </w:r>
      <w:r>
        <w:rPr>
          <w:iCs/>
          <w:i/>
        </w:rPr>
        <w:t xml:space="preserve">Nature Human Behaviour</w:t>
      </w:r>
      <w:r>
        <w:t xml:space="preserve"> </w:t>
      </w:r>
      <w:r>
        <w:t xml:space="preserve">7 (2): 164–67.</w:t>
      </w:r>
      <w:r>
        <w:t xml:space="preserve"> </w:t>
      </w:r>
      <w:hyperlink r:id="rId29">
        <w:r>
          <w:rPr>
            <w:rStyle w:val="Hyperlink"/>
          </w:rPr>
          <w:t xml:space="preserve">https://doi.org/10.1038/s41562-022-01508-2</w:t>
        </w:r>
      </w:hyperlink>
      <w:r>
        <w:t xml:space="preserve">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9" Target="https://doi.org/10.1038/s41562-022-01508-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doi.org/10.1038/s41562-022-01508-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Big Bee Interaction Database</dc:title>
  <dc:creator>Seltmann, KC; Gary the Dog</dc:creator>
  <cp:keywords/>
  <dcterms:created xsi:type="dcterms:W3CDTF">2023-08-11T22:10:04Z</dcterms:created>
  <dcterms:modified xsi:type="dcterms:W3CDTF">2023-08-11T22:10:04Z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my abstract</vt:lpwstr>
  </property>
  <property fmtid="{D5CDD505-2E9C-101B-9397-08002B2CF9AE}" pid="3" name="bibliography">
    <vt:lpwstr>biblio.bib</vt:lpwstr>
  </property>
  <property fmtid="{D5CDD505-2E9C-101B-9397-08002B2CF9AE}" pid="4" name="reference-section-title">
    <vt:lpwstr>References</vt:lpwstr>
  </property>
  <property fmtid="{D5CDD505-2E9C-101B-9397-08002B2CF9AE}" pid="5" name="report">
    <vt:lpwstr/>
  </property>
</Properties>
</file>