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电子半导体行情点评（3月17日）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A股三大股指全线下跌。</w:t>
      </w:r>
      <w:r>
        <w:rPr>
          <w:rFonts w:ascii="楷体" w:eastAsia="楷体" w:hAnsi="楷体" w:cs="楷体"/>
        </w:rPr>
        <w:t xml:space="preserve">沪指收盘下跌34.88点，跌幅：0.85%，报4049.91点；深指收盘下跌267.85点，跌幅：1.87%，报14039.73点；创业板指数收盘下跌76.96点，跌幅：2.29%，报3280.06点；国证芯片（980017）指数收盘下跌372.68点，跌幅2.77%，报13074.98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半导体板块领跌市场，跌幅显著大于主要指数。</w:t>
      </w:r>
      <w:r>
        <w:rPr>
          <w:rFonts w:ascii="楷体" w:eastAsia="楷体" w:hAnsi="楷体" w:cs="楷体"/>
        </w:rPr>
        <w:t xml:space="preserve">盘初，CPO概念股低开走低，华盛昌、铭普光磁跌超5%，长光华芯、仕佳光子跟跌。存储芯片方向全线回调，佰维存储、江波龙、香农芯创跌幅居前，资金获利了结意愿明显。午后，半导体设备材料板块跟随走弱，北方华创、中微公司小幅下挫，部分前期涨幅较大的个股出现集中兑现压力。截至收盘，PCB、消费电子、半导体设计、半导体设备材料板块全线回调，国证芯片指数跌幅显著超越大盘，显示资金在风险偏好收缩阶段对半导体高估值板块的减仓力度较大。今日调整的核心驱动在于板块前期涨幅较大、交易结构偏拥挤，而非产业基本面出现边际恶化。从历史规律看，在半导体产业景气上行周期中，此类调整往往是交易层面的阶段性减压，并不改变中期方向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建议策略：短期需对高位拥挤赛道保持警惕，但中期配置逻辑不变。</w:t>
      </w:r>
      <w:r>
        <w:rPr>
          <w:rFonts w:ascii="楷体" w:eastAsia="楷体" w:hAnsi="楷体" w:cs="楷体"/>
        </w:rPr>
        <w:t xml:space="preserve">存储芯片在涨价周期驱动下具备业绩兑现能力，调整提供再布局机会；CPO与光模块产业链景气度仍高，建议在分歧中持有核心标的；半导体设备与材料受国产替代与下游扩产双重驱动，可利用回调逐步加仓；消费电子受制于需求验证节奏，建议保持观望。整体上，以“逢调布局核心资产、控制追高冲动”为操作原则，在高波动环境中稳步积累筹码。</w:t>
      </w:r>
    </w:p>
    <w:p/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9F85" w14:textId="77777777" w:rsidR="00C74D7A" w:rsidRDefault="00C74D7A" w:rsidP="00085164">
      <w:r>
        <w:separator/>
      </w:r>
    </w:p>
  </w:endnote>
  <w:endnote w:type="continuationSeparator" w:id="0">
    <w:p w14:paraId="67956307" w14:textId="77777777" w:rsidR="00C74D7A" w:rsidRDefault="00C74D7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0C10" w14:textId="77777777" w:rsidR="00C74D7A" w:rsidRDefault="00C74D7A" w:rsidP="00085164">
      <w:r>
        <w:separator/>
      </w:r>
    </w:p>
  </w:footnote>
  <w:footnote w:type="continuationSeparator" w:id="0">
    <w:p w14:paraId="40F70B9D" w14:textId="77777777" w:rsidR="00C74D7A" w:rsidRDefault="00C74D7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318</cp:revision>
  <dcterms:created xsi:type="dcterms:W3CDTF">2025-07-14T07:12:00Z</dcterms:created>
  <dcterms:modified xsi:type="dcterms:W3CDTF">2026-04-09T07:32:00Z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