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7D558F39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4C372A">
        <w:rPr>
          <w:rFonts w:ascii="楷体" w:eastAsia="楷体" w:hAnsi="楷体" w:cs="楷体" w:hint="eastAsia"/>
          <w:b/>
          <w:bCs/>
          <w:sz w:val="28"/>
          <w:szCs w:val="36"/>
        </w:rPr>
        <w:t>3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741D1E">
        <w:rPr>
          <w:rFonts w:ascii="楷体" w:eastAsia="楷体" w:hAnsi="楷体" w:cs="楷体" w:hint="eastAsia"/>
          <w:b/>
          <w:bCs/>
          <w:sz w:val="28"/>
          <w:szCs w:val="36"/>
        </w:rPr>
        <w:t>2</w:t>
      </w:r>
      <w:r w:rsidR="00F849C2">
        <w:rPr>
          <w:rFonts w:ascii="楷体" w:eastAsia="楷体" w:hAnsi="楷体" w:cs="楷体" w:hint="eastAsia"/>
          <w:b/>
          <w:bCs/>
          <w:sz w:val="28"/>
          <w:szCs w:val="36"/>
        </w:rPr>
        <w:t>3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15EBDBC4" w14:textId="7BA27F7D" w:rsidR="0046326C" w:rsidRDefault="00606FDC" w:rsidP="00805C32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F849C2">
        <w:rPr>
          <w:rFonts w:ascii="楷体" w:eastAsia="楷体" w:hAnsi="楷体" w:cs="楷体" w:hint="eastAsia"/>
          <w:b/>
          <w:bCs/>
        </w:rPr>
        <w:t>低开下跌</w:t>
      </w:r>
      <w:r w:rsidR="00F138AB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F849C2" w:rsidRPr="00F849C2">
        <w:rPr>
          <w:rFonts w:ascii="楷体" w:eastAsia="楷体" w:hAnsi="楷体" w:cs="楷体" w:hint="eastAsia"/>
        </w:rPr>
        <w:t>收盘下跌143.77点，跌幅：3.63%，报3813.28点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F849C2" w:rsidRPr="00F849C2">
        <w:rPr>
          <w:rFonts w:ascii="楷体" w:eastAsia="楷体" w:hAnsi="楷体" w:cs="楷体" w:hint="eastAsia"/>
        </w:rPr>
        <w:t>收盘下跌520.69点，跌幅：3.76%，报13345.51点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业板指数</w:t>
      </w:r>
      <w:r w:rsidR="00F849C2" w:rsidRPr="00F849C2">
        <w:rPr>
          <w:rFonts w:ascii="楷体" w:eastAsia="楷体" w:hAnsi="楷体" w:cs="楷体" w:hint="eastAsia"/>
        </w:rPr>
        <w:t>收盘下跌116.88点，跌幅：3.49%，报3235.22点</w:t>
      </w:r>
      <w:r w:rsidR="00DE1A05" w:rsidRPr="00DE1A05">
        <w:rPr>
          <w:rFonts w:ascii="楷体" w:eastAsia="楷体" w:hAnsi="楷体" w:cs="楷体" w:hint="eastAsia"/>
        </w:rPr>
        <w:t>；</w:t>
      </w:r>
      <w:r w:rsidR="00386FA4" w:rsidRPr="00386FA4">
        <w:rPr>
          <w:rFonts w:ascii="楷体" w:eastAsia="楷体" w:hAnsi="楷体" w:cs="楷体" w:hint="eastAsia"/>
        </w:rPr>
        <w:t>国证芯片（980017）指数收盘</w:t>
      </w:r>
      <w:r w:rsidR="001F5812">
        <w:rPr>
          <w:rFonts w:ascii="楷体" w:eastAsia="楷体" w:hAnsi="楷体" w:cs="楷体" w:hint="eastAsia"/>
        </w:rPr>
        <w:t>下跌</w:t>
      </w:r>
      <w:r w:rsidR="00F849C2">
        <w:rPr>
          <w:rFonts w:ascii="楷体" w:eastAsia="楷体" w:hAnsi="楷体" w:cs="楷体" w:hint="eastAsia"/>
        </w:rPr>
        <w:t>630.14</w:t>
      </w:r>
      <w:r w:rsidR="00386FA4" w:rsidRPr="00386FA4">
        <w:rPr>
          <w:rFonts w:ascii="楷体" w:eastAsia="楷体" w:hAnsi="楷体" w:cs="楷体" w:hint="eastAsia"/>
        </w:rPr>
        <w:t>点</w:t>
      </w:r>
      <w:r w:rsidR="00B61048">
        <w:rPr>
          <w:rFonts w:ascii="楷体" w:eastAsia="楷体" w:hAnsi="楷体" w:cs="楷体" w:hint="eastAsia"/>
        </w:rPr>
        <w:t>，</w:t>
      </w:r>
      <w:r w:rsidR="001F5812">
        <w:rPr>
          <w:rFonts w:ascii="楷体" w:eastAsia="楷体" w:hAnsi="楷体" w:cs="楷体" w:hint="eastAsia"/>
        </w:rPr>
        <w:t>跌幅</w:t>
      </w:r>
      <w:r w:rsidR="00F849C2">
        <w:rPr>
          <w:rFonts w:ascii="楷体" w:eastAsia="楷体" w:hAnsi="楷体" w:cs="楷体" w:hint="eastAsia"/>
        </w:rPr>
        <w:t>4.92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F849C2">
        <w:rPr>
          <w:rFonts w:ascii="楷体" w:eastAsia="楷体" w:hAnsi="楷体" w:cs="楷体" w:hint="eastAsia"/>
        </w:rPr>
        <w:t>12190.19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34A27B0B" w14:textId="762C63DF" w:rsidR="00F849C2" w:rsidRPr="00F849C2" w:rsidRDefault="00F66560" w:rsidP="00F849C2">
      <w:pPr>
        <w:pStyle w:val="aa"/>
        <w:ind w:firstLineChars="200" w:firstLine="422"/>
        <w:rPr>
          <w:rFonts w:ascii="楷体" w:eastAsia="楷体" w:hAnsi="楷体" w:cs="楷体" w:hint="eastAsia"/>
          <w:sz w:val="21"/>
        </w:rPr>
      </w:pPr>
      <w:r>
        <w:rPr>
          <w:rFonts w:ascii="楷体" w:eastAsia="楷体" w:hAnsi="楷体" w:cs="楷体" w:hint="eastAsia"/>
          <w:b/>
          <w:bCs/>
          <w:sz w:val="21"/>
        </w:rPr>
        <w:t>半导体</w:t>
      </w:r>
      <w:r w:rsidR="00BC4AD8">
        <w:rPr>
          <w:rFonts w:ascii="楷体" w:eastAsia="楷体" w:hAnsi="楷体" w:cs="楷体" w:hint="eastAsia"/>
          <w:b/>
          <w:bCs/>
          <w:sz w:val="21"/>
        </w:rPr>
        <w:t>板块</w:t>
      </w:r>
      <w:r w:rsidR="00F849C2">
        <w:rPr>
          <w:rFonts w:ascii="楷体" w:eastAsia="楷体" w:hAnsi="楷体" w:cs="楷体" w:hint="eastAsia"/>
          <w:b/>
          <w:bCs/>
          <w:sz w:val="21"/>
        </w:rPr>
        <w:t>短期承压</w:t>
      </w:r>
      <w:r>
        <w:rPr>
          <w:rFonts w:ascii="楷体" w:eastAsia="楷体" w:hAnsi="楷体" w:cs="楷体" w:hint="eastAsia"/>
          <w:b/>
          <w:bCs/>
          <w:sz w:val="21"/>
        </w:rPr>
        <w:t>。</w:t>
      </w:r>
      <w:r w:rsidR="001F5812">
        <w:rPr>
          <w:rFonts w:ascii="楷体" w:eastAsia="楷体" w:hAnsi="楷体" w:cs="楷体" w:hint="eastAsia"/>
          <w:sz w:val="21"/>
        </w:rPr>
        <w:t>盘初，</w:t>
      </w:r>
      <w:r w:rsidR="00F849C2" w:rsidRPr="00F849C2">
        <w:rPr>
          <w:rFonts w:ascii="楷体" w:eastAsia="楷体" w:hAnsi="楷体" w:cs="楷体" w:hint="eastAsia"/>
          <w:sz w:val="21"/>
        </w:rPr>
        <w:t>CPO、铜缆高速连接等算力硬件股集体低开，三安光电一字跌停，汇绿生态、铭普光磁跌超6%，源杰科技、长光华芯、华丰科技纷纷下跌。</w:t>
      </w:r>
      <w:r w:rsidR="001F5812" w:rsidRPr="001F5812">
        <w:rPr>
          <w:rFonts w:ascii="楷体" w:eastAsia="楷体" w:hAnsi="楷体" w:cs="楷体" w:hint="eastAsia"/>
          <w:sz w:val="21"/>
        </w:rPr>
        <w:t>。</w:t>
      </w:r>
      <w:r w:rsidR="001F5812">
        <w:rPr>
          <w:rFonts w:ascii="楷体" w:eastAsia="楷体" w:hAnsi="楷体" w:cs="楷体" w:hint="eastAsia"/>
          <w:sz w:val="21"/>
        </w:rPr>
        <w:t>截至收盘，PCB、消费电子、半导体设计</w:t>
      </w:r>
      <w:r w:rsidR="00F849C2">
        <w:rPr>
          <w:rFonts w:ascii="楷体" w:eastAsia="楷体" w:hAnsi="楷体" w:cs="楷体" w:hint="eastAsia"/>
          <w:sz w:val="21"/>
        </w:rPr>
        <w:t>、半导体设备材料</w:t>
      </w:r>
      <w:r w:rsidR="001F5812">
        <w:rPr>
          <w:rFonts w:ascii="楷体" w:eastAsia="楷体" w:hAnsi="楷体" w:cs="楷体" w:hint="eastAsia"/>
          <w:sz w:val="21"/>
        </w:rPr>
        <w:t>板块</w:t>
      </w:r>
      <w:r w:rsidR="00F849C2">
        <w:rPr>
          <w:rFonts w:ascii="楷体" w:eastAsia="楷体" w:hAnsi="楷体" w:cs="楷体" w:hint="eastAsia"/>
          <w:sz w:val="21"/>
        </w:rPr>
        <w:t>全线</w:t>
      </w:r>
      <w:r w:rsidR="001F5812">
        <w:rPr>
          <w:rFonts w:ascii="楷体" w:eastAsia="楷体" w:hAnsi="楷体" w:cs="楷体" w:hint="eastAsia"/>
          <w:sz w:val="21"/>
        </w:rPr>
        <w:t>回调</w:t>
      </w:r>
      <w:r w:rsidR="00F849C2">
        <w:rPr>
          <w:rFonts w:ascii="楷体" w:eastAsia="楷体" w:hAnsi="楷体" w:cs="楷体" w:hint="eastAsia"/>
          <w:sz w:val="21"/>
        </w:rPr>
        <w:t>。今</w:t>
      </w:r>
      <w:r w:rsidR="00F849C2" w:rsidRPr="00F849C2">
        <w:rPr>
          <w:rFonts w:ascii="楷体" w:eastAsia="楷体" w:hAnsi="楷体" w:cs="楷体" w:hint="eastAsia"/>
          <w:sz w:val="21"/>
        </w:rPr>
        <w:t>日市场呈现典型的风险快速释放状态，个股普跌特征显著，成交额放量但以恐慌性交易为主，反映出短期流动性收缩与风险偏好快速下降的共振效应 。从电子与半导体板块内部结构来看，当日呈现出“高景气主线补跌+事件驱动放大波动”的典型特征。整体来看，当日电子半导体板块的调整，本质上是“宏观流动性扰动+高拥挤赛道集中兑现+个别事件冲击”三重因素叠加的结果，属于结构性行情中的阶段性风险释放。一方面，算力与AI产业链的中长期逻辑并未发生改变，全球算力需求扩张、先进制程与高带宽存储持续演进等趋势仍在强化；另一方面，短期估值与交易结构的失衡，使得板块在风险偏好收缩阶段出现放大波动。</w:t>
      </w:r>
    </w:p>
    <w:p w14:paraId="4C887256" w14:textId="3DCE1062" w:rsidR="00805C32" w:rsidRPr="00805C32" w:rsidRDefault="00F849C2" w:rsidP="00F849C2">
      <w:pPr>
        <w:pStyle w:val="aa"/>
        <w:ind w:firstLineChars="200" w:firstLine="422"/>
        <w:rPr>
          <w:rFonts w:ascii="楷体" w:eastAsia="楷体" w:hAnsi="楷体" w:cs="楷体" w:hint="eastAsia"/>
          <w:sz w:val="21"/>
        </w:rPr>
      </w:pPr>
      <w:r w:rsidRPr="00F849C2">
        <w:rPr>
          <w:rFonts w:ascii="楷体" w:eastAsia="楷体" w:hAnsi="楷体" w:cs="楷体" w:hint="eastAsia"/>
          <w:b/>
          <w:bCs/>
          <w:sz w:val="21"/>
        </w:rPr>
        <w:t>建议策略：</w:t>
      </w:r>
      <w:r w:rsidRPr="00F849C2">
        <w:rPr>
          <w:rFonts w:ascii="楷体" w:eastAsia="楷体" w:hAnsi="楷体" w:cs="楷体" w:hint="eastAsia"/>
          <w:sz w:val="21"/>
        </w:rPr>
        <w:t>当前阶段需从“进攻思维”切换至“节奏与风险控制优先”。对于算力产业链（CPO、光模块、AI服务器等）</w:t>
      </w:r>
      <w:r>
        <w:rPr>
          <w:rFonts w:ascii="楷体" w:eastAsia="楷体" w:hAnsi="楷体" w:cs="楷体" w:hint="eastAsia"/>
          <w:sz w:val="21"/>
        </w:rPr>
        <w:t>，</w:t>
      </w:r>
      <w:r w:rsidRPr="00F849C2">
        <w:rPr>
          <w:rFonts w:ascii="楷体" w:eastAsia="楷体" w:hAnsi="楷体" w:cs="楷体" w:hint="eastAsia"/>
          <w:sz w:val="21"/>
        </w:rPr>
        <w:t>建议从追涨转向等待调整后的再配置机会，重点关注具备业绩兑现能力与全球竞争力的核心龙头，在情绪出清过程中分批布局；对于半导体设备与材料方向，可继续作为中期底仓配置，利用波动进行结构优化；对于芯片设计与消费电子链条，短期仍需等待需求与业绩验证，避免过早加仓。在市场整体波动加剧、轮动加快的背景下，通过控制仓位、分散配置及动态调整参与节奏，将有助于在当前系统性调整后，把握下一阶段由产业趋势驱动的结构性机会。</w:t>
      </w:r>
    </w:p>
    <w:p w14:paraId="70E8BD49" w14:textId="7469B39E" w:rsidR="00576E01" w:rsidRPr="00741D1E" w:rsidRDefault="00576E01" w:rsidP="00F849C2">
      <w:pPr>
        <w:pStyle w:val="aa"/>
        <w:ind w:firstLineChars="200" w:firstLine="420"/>
        <w:rPr>
          <w:rFonts w:ascii="楷体" w:eastAsia="楷体" w:hAnsi="楷体" w:cs="楷体" w:hint="eastAsia"/>
          <w:sz w:val="21"/>
        </w:rPr>
      </w:pP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5FF7E" w14:textId="77777777" w:rsidR="00E04F84" w:rsidRDefault="00E04F84" w:rsidP="00085164">
      <w:r>
        <w:separator/>
      </w:r>
    </w:p>
  </w:endnote>
  <w:endnote w:type="continuationSeparator" w:id="0">
    <w:p w14:paraId="45BE9EF3" w14:textId="77777777" w:rsidR="00E04F84" w:rsidRDefault="00E04F84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B765F" w14:textId="77777777" w:rsidR="00E04F84" w:rsidRDefault="00E04F84" w:rsidP="00085164">
      <w:r>
        <w:separator/>
      </w:r>
    </w:p>
  </w:footnote>
  <w:footnote w:type="continuationSeparator" w:id="0">
    <w:p w14:paraId="41E2E7F7" w14:textId="77777777" w:rsidR="00E04F84" w:rsidRDefault="00E04F84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3073"/>
    <w:rsid w:val="00093562"/>
    <w:rsid w:val="00094CB9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5D23"/>
    <w:rsid w:val="00551C88"/>
    <w:rsid w:val="00566073"/>
    <w:rsid w:val="00566B61"/>
    <w:rsid w:val="005719AB"/>
    <w:rsid w:val="00575756"/>
    <w:rsid w:val="00575798"/>
    <w:rsid w:val="00576E01"/>
    <w:rsid w:val="00582765"/>
    <w:rsid w:val="00591388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734C"/>
    <w:rsid w:val="00767CFD"/>
    <w:rsid w:val="00767D6E"/>
    <w:rsid w:val="0077004B"/>
    <w:rsid w:val="00771481"/>
    <w:rsid w:val="00775A50"/>
    <w:rsid w:val="00781B7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72CEB"/>
    <w:rsid w:val="0087728A"/>
    <w:rsid w:val="00881230"/>
    <w:rsid w:val="00884E37"/>
    <w:rsid w:val="0089440D"/>
    <w:rsid w:val="00894472"/>
    <w:rsid w:val="00895EAF"/>
    <w:rsid w:val="008A0323"/>
    <w:rsid w:val="008A508C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2399A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3FBE"/>
    <w:rsid w:val="00C7504B"/>
    <w:rsid w:val="00C768EC"/>
    <w:rsid w:val="00C84D05"/>
    <w:rsid w:val="00C85519"/>
    <w:rsid w:val="00C86E73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9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13488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295</cp:revision>
  <dcterms:created xsi:type="dcterms:W3CDTF">2025-07-14T07:12:00Z</dcterms:created>
  <dcterms:modified xsi:type="dcterms:W3CDTF">2026-03-23T07:32:00Z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