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14BCAEE2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4C372A">
        <w:rPr>
          <w:rFonts w:ascii="楷体" w:eastAsia="楷体" w:hAnsi="楷体" w:cs="楷体" w:hint="eastAsia"/>
          <w:b/>
          <w:bCs/>
          <w:sz w:val="28"/>
          <w:szCs w:val="36"/>
        </w:rPr>
        <w:t>3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324CB7">
        <w:rPr>
          <w:rFonts w:ascii="楷体" w:eastAsia="楷体" w:hAnsi="楷体" w:cs="楷体" w:hint="eastAsia"/>
          <w:b/>
          <w:bCs/>
          <w:sz w:val="28"/>
          <w:szCs w:val="36"/>
        </w:rPr>
        <w:t>30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0122F017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324CB7">
        <w:rPr>
          <w:rFonts w:ascii="楷体" w:eastAsia="楷体" w:hAnsi="楷体" w:cs="楷体" w:hint="eastAsia"/>
          <w:b/>
          <w:bCs/>
        </w:rPr>
        <w:t>涨跌互现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324CB7" w:rsidRPr="00324CB7">
        <w:rPr>
          <w:rFonts w:ascii="楷体" w:eastAsia="楷体" w:hAnsi="楷体" w:cs="楷体" w:hint="eastAsia"/>
        </w:rPr>
        <w:t>收盘上涨9.56点，涨幅：0.24%，报3923.29点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324CB7" w:rsidRPr="00324CB7">
        <w:rPr>
          <w:rFonts w:ascii="楷体" w:eastAsia="楷体" w:hAnsi="楷体" w:cs="楷体" w:hint="eastAsia"/>
        </w:rPr>
        <w:t>收盘下跌34.18点，跌幅：0.25%，报13726.19点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324CB7" w:rsidRPr="00324CB7">
        <w:rPr>
          <w:rFonts w:ascii="楷体" w:eastAsia="楷体" w:hAnsi="楷体" w:cs="楷体" w:hint="eastAsia"/>
        </w:rPr>
        <w:t>收盘下跌22.52点，跌幅：0.68%，报3273.35点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324CB7">
        <w:rPr>
          <w:rFonts w:ascii="楷体" w:eastAsia="楷体" w:hAnsi="楷体" w:cs="楷体" w:hint="eastAsia"/>
        </w:rPr>
        <w:t>下跌47.16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324CB7">
        <w:rPr>
          <w:rFonts w:ascii="楷体" w:eastAsia="楷体" w:hAnsi="楷体" w:cs="楷体" w:hint="eastAsia"/>
        </w:rPr>
        <w:t>跌幅0.38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324CB7">
        <w:rPr>
          <w:rFonts w:ascii="楷体" w:eastAsia="楷体" w:hAnsi="楷体" w:cs="楷体" w:hint="eastAsia"/>
        </w:rPr>
        <w:t>12337.86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65B75D20" w14:textId="06F9B1B8" w:rsidR="00324CB7" w:rsidRPr="00324CB7" w:rsidRDefault="00F66560" w:rsidP="00324CB7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9D762D">
        <w:rPr>
          <w:rFonts w:ascii="楷体" w:eastAsia="楷体" w:hAnsi="楷体" w:cs="楷体" w:hint="eastAsia"/>
          <w:b/>
          <w:bCs/>
        </w:rPr>
        <w:t>震荡</w:t>
      </w:r>
      <w:r w:rsidR="00FB462B">
        <w:rPr>
          <w:rFonts w:ascii="楷体" w:eastAsia="楷体" w:hAnsi="楷体" w:cs="楷体" w:hint="eastAsia"/>
          <w:b/>
          <w:bCs/>
        </w:rPr>
        <w:t>分化</w:t>
      </w:r>
      <w:r>
        <w:rPr>
          <w:rFonts w:ascii="楷体" w:eastAsia="楷体" w:hAnsi="楷体" w:cs="楷体" w:hint="eastAsia"/>
          <w:b/>
          <w:bCs/>
        </w:rPr>
        <w:t>。</w:t>
      </w:r>
      <w:r w:rsidR="00324CB7">
        <w:rPr>
          <w:rFonts w:ascii="楷体" w:eastAsia="楷体" w:hAnsi="楷体" w:cs="楷体" w:hint="eastAsia"/>
        </w:rPr>
        <w:t>盘初，</w:t>
      </w:r>
      <w:r w:rsidR="00324CB7" w:rsidRPr="00324CB7">
        <w:rPr>
          <w:rFonts w:ascii="楷体" w:eastAsia="楷体" w:hAnsi="楷体" w:cs="楷体" w:hint="eastAsia"/>
        </w:rPr>
        <w:t>光纤概念逆势走强，法</w:t>
      </w:r>
      <w:proofErr w:type="gramStart"/>
      <w:r w:rsidR="00324CB7" w:rsidRPr="00324CB7">
        <w:rPr>
          <w:rFonts w:ascii="楷体" w:eastAsia="楷体" w:hAnsi="楷体" w:cs="楷体" w:hint="eastAsia"/>
        </w:rPr>
        <w:t>尔胜涨停</w:t>
      </w:r>
      <w:proofErr w:type="gramEnd"/>
      <w:r w:rsidR="00324CB7" w:rsidRPr="00324CB7">
        <w:rPr>
          <w:rFonts w:ascii="楷体" w:eastAsia="楷体" w:hAnsi="楷体" w:cs="楷体" w:hint="eastAsia"/>
        </w:rPr>
        <w:t>，长飞</w:t>
      </w:r>
      <w:proofErr w:type="gramStart"/>
      <w:r w:rsidR="00324CB7" w:rsidRPr="00324CB7">
        <w:rPr>
          <w:rFonts w:ascii="楷体" w:eastAsia="楷体" w:hAnsi="楷体" w:cs="楷体" w:hint="eastAsia"/>
        </w:rPr>
        <w:t>光纤涨超</w:t>
      </w:r>
      <w:proofErr w:type="gramEnd"/>
      <w:r w:rsidR="00324CB7" w:rsidRPr="00324CB7">
        <w:rPr>
          <w:rFonts w:ascii="楷体" w:eastAsia="楷体" w:hAnsi="楷体" w:cs="楷体" w:hint="eastAsia"/>
        </w:rPr>
        <w:t>7%</w:t>
      </w:r>
      <w:proofErr w:type="gramStart"/>
      <w:r w:rsidR="00324CB7" w:rsidRPr="00324CB7">
        <w:rPr>
          <w:rFonts w:ascii="楷体" w:eastAsia="楷体" w:hAnsi="楷体" w:cs="楷体" w:hint="eastAsia"/>
        </w:rPr>
        <w:t>续创历史</w:t>
      </w:r>
      <w:proofErr w:type="gramEnd"/>
      <w:r w:rsidR="00324CB7" w:rsidRPr="00324CB7">
        <w:rPr>
          <w:rFonts w:ascii="楷体" w:eastAsia="楷体" w:hAnsi="楷体" w:cs="楷体" w:hint="eastAsia"/>
        </w:rPr>
        <w:t>新高，</w:t>
      </w:r>
      <w:proofErr w:type="gramStart"/>
      <w:r w:rsidR="00324CB7" w:rsidRPr="00324CB7">
        <w:rPr>
          <w:rFonts w:ascii="楷体" w:eastAsia="楷体" w:hAnsi="楷体" w:cs="楷体" w:hint="eastAsia"/>
        </w:rPr>
        <w:t>通鼎互联</w:t>
      </w:r>
      <w:proofErr w:type="gramEnd"/>
      <w:r w:rsidR="00324CB7" w:rsidRPr="00324CB7">
        <w:rPr>
          <w:rFonts w:ascii="楷体" w:eastAsia="楷体" w:hAnsi="楷体" w:cs="楷体" w:hint="eastAsia"/>
        </w:rPr>
        <w:t>、亨通光电、长盈通、中天科技跟涨</w:t>
      </w:r>
      <w:r w:rsidR="00782585" w:rsidRPr="00782585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F849C2">
        <w:rPr>
          <w:rFonts w:ascii="楷体" w:eastAsia="楷体" w:hAnsi="楷体" w:cs="楷体" w:hint="eastAsia"/>
        </w:rPr>
        <w:t>半导体设备材料</w:t>
      </w:r>
      <w:r w:rsidR="001F5812">
        <w:rPr>
          <w:rFonts w:ascii="楷体" w:eastAsia="楷体" w:hAnsi="楷体" w:cs="楷体" w:hint="eastAsia"/>
        </w:rPr>
        <w:t>板块</w:t>
      </w:r>
      <w:r w:rsidR="00FB462B">
        <w:rPr>
          <w:rFonts w:ascii="楷体" w:eastAsia="楷体" w:hAnsi="楷体" w:cs="楷体" w:hint="eastAsia"/>
        </w:rPr>
        <w:t>分化微涨，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FB462B">
        <w:rPr>
          <w:rFonts w:ascii="楷体" w:eastAsia="楷体" w:hAnsi="楷体" w:cs="楷体" w:hint="eastAsia"/>
        </w:rPr>
        <w:t>板块震荡微跌。</w:t>
      </w:r>
      <w:r w:rsidR="00324CB7">
        <w:rPr>
          <w:rFonts w:ascii="楷体" w:eastAsia="楷体" w:hAnsi="楷体" w:cs="楷体" w:hint="eastAsia"/>
        </w:rPr>
        <w:t>半导体相关指数</w:t>
      </w:r>
      <w:r w:rsidR="00324CB7" w:rsidRPr="00324CB7">
        <w:rPr>
          <w:rFonts w:ascii="楷体" w:eastAsia="楷体" w:hAnsi="楷体" w:cs="楷体" w:hint="eastAsia"/>
        </w:rPr>
        <w:t>小幅下跌且弱于沪指，显示半导体板块在连续反弹与震荡后进入短期整理阶段，资金回流力度有所减弱。</w:t>
      </w:r>
      <w:r w:rsidR="00324CB7">
        <w:rPr>
          <w:rFonts w:ascii="楷体" w:eastAsia="楷体" w:hAnsi="楷体" w:cs="楷体" w:hint="eastAsia"/>
        </w:rPr>
        <w:t>今</w:t>
      </w:r>
      <w:r w:rsidR="00324CB7" w:rsidRPr="00324CB7">
        <w:rPr>
          <w:rFonts w:ascii="楷体" w:eastAsia="楷体" w:hAnsi="楷体" w:cs="楷体" w:hint="eastAsia"/>
        </w:rPr>
        <w:t>日电子半导体板块的表现进一步强化了当前市场的核心特征：一是指数层面缺乏趋势性方向，但结构性机会持续存在；二是资金</w:t>
      </w:r>
      <w:proofErr w:type="gramStart"/>
      <w:r w:rsidR="00324CB7" w:rsidRPr="00324CB7">
        <w:rPr>
          <w:rFonts w:ascii="楷体" w:eastAsia="楷体" w:hAnsi="楷体" w:cs="楷体" w:hint="eastAsia"/>
        </w:rPr>
        <w:t>在算力主线</w:t>
      </w:r>
      <w:proofErr w:type="gramEnd"/>
      <w:r w:rsidR="00324CB7" w:rsidRPr="00324CB7">
        <w:rPr>
          <w:rFonts w:ascii="楷体" w:eastAsia="楷体" w:hAnsi="楷体" w:cs="楷体" w:hint="eastAsia"/>
        </w:rPr>
        <w:t>内部进行“高低切换”，由高拥挤的光模块、AI芯片向光纤、设备材料等相对低位或确定性更强环节轮动；三是产业逻辑</w:t>
      </w:r>
      <w:proofErr w:type="gramStart"/>
      <w:r w:rsidR="00324CB7" w:rsidRPr="00324CB7">
        <w:rPr>
          <w:rFonts w:ascii="楷体" w:eastAsia="楷体" w:hAnsi="楷体" w:cs="楷体" w:hint="eastAsia"/>
        </w:rPr>
        <w:t>仍是中期</w:t>
      </w:r>
      <w:proofErr w:type="gramEnd"/>
      <w:r w:rsidR="00324CB7" w:rsidRPr="00324CB7">
        <w:rPr>
          <w:rFonts w:ascii="楷体" w:eastAsia="楷体" w:hAnsi="楷体" w:cs="楷体" w:hint="eastAsia"/>
        </w:rPr>
        <w:t>定价核心，而短期波动更多由交易结构与外部情绪扰动驱动。在全球半导体行业进入新一轮景气上行周期的背景下，基本面支撑依然存在，但市场对估值与兑现能力的要求正在提高。</w:t>
      </w:r>
    </w:p>
    <w:p w14:paraId="32132918" w14:textId="4C32548A" w:rsidR="00324CB7" w:rsidRPr="00741D1E" w:rsidRDefault="00324CB7" w:rsidP="00324CB7">
      <w:pPr>
        <w:ind w:firstLineChars="200" w:firstLine="422"/>
        <w:rPr>
          <w:rFonts w:ascii="楷体" w:eastAsia="楷体" w:hAnsi="楷体" w:cs="楷体"/>
        </w:rPr>
      </w:pPr>
      <w:r w:rsidRPr="00324CB7">
        <w:rPr>
          <w:rFonts w:ascii="楷体" w:eastAsia="楷体" w:hAnsi="楷体" w:cs="楷体" w:hint="eastAsia"/>
          <w:b/>
          <w:bCs/>
        </w:rPr>
        <w:t>建议策略：</w:t>
      </w:r>
      <w:r w:rsidRPr="00324CB7">
        <w:rPr>
          <w:rFonts w:ascii="楷体" w:eastAsia="楷体" w:hAnsi="楷体" w:cs="楷体" w:hint="eastAsia"/>
        </w:rPr>
        <w:t>当前阶段应继续坚持“结构优先、节奏控制”的配置思路。</w:t>
      </w:r>
      <w:proofErr w:type="gramStart"/>
      <w:r w:rsidRPr="00324CB7">
        <w:rPr>
          <w:rFonts w:ascii="楷体" w:eastAsia="楷体" w:hAnsi="楷体" w:cs="楷体" w:hint="eastAsia"/>
        </w:rPr>
        <w:t>算力产业</w:t>
      </w:r>
      <w:proofErr w:type="gramEnd"/>
      <w:r w:rsidRPr="00324CB7">
        <w:rPr>
          <w:rFonts w:ascii="楷体" w:eastAsia="楷体" w:hAnsi="楷体" w:cs="楷体" w:hint="eastAsia"/>
        </w:rPr>
        <w:t>链仍是</w:t>
      </w:r>
      <w:proofErr w:type="gramStart"/>
      <w:r w:rsidRPr="00324CB7">
        <w:rPr>
          <w:rFonts w:ascii="楷体" w:eastAsia="楷体" w:hAnsi="楷体" w:cs="楷体" w:hint="eastAsia"/>
        </w:rPr>
        <w:t>最</w:t>
      </w:r>
      <w:proofErr w:type="gramEnd"/>
      <w:r w:rsidRPr="00324CB7">
        <w:rPr>
          <w:rFonts w:ascii="楷体" w:eastAsia="楷体" w:hAnsi="楷体" w:cs="楷体" w:hint="eastAsia"/>
        </w:rPr>
        <w:t>核心主线，但需注意</w:t>
      </w:r>
      <w:proofErr w:type="gramStart"/>
      <w:r w:rsidRPr="00324CB7">
        <w:rPr>
          <w:rFonts w:ascii="楷体" w:eastAsia="楷体" w:hAnsi="楷体" w:cs="楷体" w:hint="eastAsia"/>
        </w:rPr>
        <w:t>内部轮</w:t>
      </w:r>
      <w:proofErr w:type="gramEnd"/>
      <w:r w:rsidRPr="00324CB7">
        <w:rPr>
          <w:rFonts w:ascii="楷体" w:eastAsia="楷体" w:hAnsi="楷体" w:cs="楷体" w:hint="eastAsia"/>
        </w:rPr>
        <w:t>动节奏，短期可适度从高拥挤方向切换至光通信中游、设备材料等确定性更强环节；半导体设备与材料可作为中期底仓持续配置，在调整中逐步优化持仓结构；存储板块在涨价周期支撑下具备中期弹性，但短期需等待价格与业绩进一步验证；芯片设计与消费电子方向建议保持谨慎，重点观察需求改善信号。在市场成交量未显著放大之前，整体仍将维持震荡格局，通过分批布局与动态</w:t>
      </w:r>
      <w:proofErr w:type="gramStart"/>
      <w:r w:rsidRPr="00324CB7">
        <w:rPr>
          <w:rFonts w:ascii="楷体" w:eastAsia="楷体" w:hAnsi="楷体" w:cs="楷体" w:hint="eastAsia"/>
        </w:rPr>
        <w:t>调仓参与</w:t>
      </w:r>
      <w:proofErr w:type="gramEnd"/>
      <w:r w:rsidRPr="00324CB7">
        <w:rPr>
          <w:rFonts w:ascii="楷体" w:eastAsia="楷体" w:hAnsi="楷体" w:cs="楷体" w:hint="eastAsia"/>
        </w:rPr>
        <w:t>主线轮动，将更有利于在当前结构性行情中获取稳健收益。</w:t>
      </w:r>
    </w:p>
    <w:p w14:paraId="70E8BD49" w14:textId="34615C93" w:rsidR="00576E01" w:rsidRPr="00741D1E" w:rsidRDefault="00576E01" w:rsidP="00324CB7">
      <w:pPr>
        <w:pStyle w:val="aa"/>
        <w:ind w:firstLineChars="200" w:firstLine="420"/>
        <w:rPr>
          <w:rFonts w:ascii="楷体" w:eastAsia="楷体" w:hAnsi="楷体" w:cs="楷体" w:hint="eastAsia"/>
          <w:sz w:val="21"/>
        </w:rPr>
      </w:pPr>
    </w:p>
    <w:sectPr w:rsidR="00576E01" w:rsidRPr="00741D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8830" w14:textId="77777777" w:rsidR="007C1D0F" w:rsidRDefault="007C1D0F" w:rsidP="00085164">
      <w:r>
        <w:separator/>
      </w:r>
    </w:p>
  </w:endnote>
  <w:endnote w:type="continuationSeparator" w:id="0">
    <w:p w14:paraId="26A8DBF7" w14:textId="77777777" w:rsidR="007C1D0F" w:rsidRDefault="007C1D0F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9266" w14:textId="77777777" w:rsidR="007C1D0F" w:rsidRDefault="007C1D0F" w:rsidP="00085164">
      <w:r>
        <w:separator/>
      </w:r>
    </w:p>
  </w:footnote>
  <w:footnote w:type="continuationSeparator" w:id="0">
    <w:p w14:paraId="3AC5DDA1" w14:textId="77777777" w:rsidR="007C1D0F" w:rsidRDefault="007C1D0F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5D9B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5D23"/>
    <w:rsid w:val="00551C88"/>
    <w:rsid w:val="00566073"/>
    <w:rsid w:val="00566B61"/>
    <w:rsid w:val="005719AB"/>
    <w:rsid w:val="00575756"/>
    <w:rsid w:val="00575798"/>
    <w:rsid w:val="00576E01"/>
    <w:rsid w:val="00582765"/>
    <w:rsid w:val="00591388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72CEB"/>
    <w:rsid w:val="0087728A"/>
    <w:rsid w:val="00881230"/>
    <w:rsid w:val="00884E37"/>
    <w:rsid w:val="0089440D"/>
    <w:rsid w:val="00894472"/>
    <w:rsid w:val="00895EAF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2399A"/>
    <w:rsid w:val="00B2518E"/>
    <w:rsid w:val="00B26C72"/>
    <w:rsid w:val="00B31A09"/>
    <w:rsid w:val="00B31E64"/>
    <w:rsid w:val="00B35877"/>
    <w:rsid w:val="00B37EDD"/>
    <w:rsid w:val="00B43E24"/>
    <w:rsid w:val="00B4407C"/>
    <w:rsid w:val="00B440A1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9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13562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304</cp:revision>
  <dcterms:created xsi:type="dcterms:W3CDTF">2025-07-14T07:12:00Z</dcterms:created>
  <dcterms:modified xsi:type="dcterms:W3CDTF">2026-03-30T07:21:00Z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