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32D088EE" w:rsidR="00386FA4" w:rsidRPr="00386FA4" w:rsidRDefault="00386FA4" w:rsidP="00386FA4"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210FCA">
        <w:rPr>
          <w:rFonts w:ascii="楷体" w:eastAsia="楷体" w:hAnsi="楷体" w:cs="楷体" w:hint="eastAsia"/>
          <w:b/>
          <w:bCs/>
          <w:sz w:val="28"/>
          <w:szCs w:val="36"/>
        </w:rPr>
        <w:t>1</w:t>
      </w:r>
      <w:r w:rsidR="00354441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05B520A3" w:rsidR="00BD2EA4" w:rsidRDefault="00606FDC" w:rsidP="00BD2EA4">
      <w:pPr>
        <w:ind w:firstLineChars="200" w:firstLine="422"/>
        <w:rPr>
          <w:rFonts w:ascii="楷体" w:eastAsia="楷体" w:hAnsi="楷体" w:cs="楷体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354441">
        <w:rPr>
          <w:rFonts w:ascii="楷体" w:eastAsia="楷体" w:hAnsi="楷体" w:cs="楷体" w:hint="eastAsia"/>
          <w:b/>
          <w:bCs/>
        </w:rPr>
        <w:t>延续涨势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354441" w:rsidRPr="00354441">
        <w:rPr>
          <w:rFonts w:ascii="楷体" w:eastAsia="楷体" w:hAnsi="楷体" w:cs="楷体" w:hint="eastAsia"/>
        </w:rPr>
        <w:t>收盘上涨38.07点，涨幅：0.95%，报4026.63点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354441" w:rsidRPr="00354441">
        <w:rPr>
          <w:rFonts w:ascii="楷体" w:eastAsia="楷体" w:hAnsi="楷体" w:cs="楷体" w:hint="eastAsia"/>
        </w:rPr>
        <w:t>收盘上涨232.09点，涨幅：1.61%，报14639.95点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354441" w:rsidRPr="00354441">
        <w:rPr>
          <w:rFonts w:ascii="楷体" w:eastAsia="楷体" w:hAnsi="楷体" w:cs="楷体" w:hint="eastAsia"/>
        </w:rPr>
        <w:t>收盘上涨82.09点，涨幅：2.36%，报3558.53点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074CA0">
        <w:rPr>
          <w:rFonts w:ascii="楷体" w:eastAsia="楷体" w:hAnsi="楷体" w:cs="楷体" w:hint="eastAsia"/>
        </w:rPr>
        <w:t>上涨</w:t>
      </w:r>
      <w:r w:rsidR="00354441">
        <w:rPr>
          <w:rFonts w:ascii="楷体" w:eastAsia="楷体" w:hAnsi="楷体" w:cs="楷体" w:hint="eastAsia"/>
        </w:rPr>
        <w:t>270.76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074CA0">
        <w:rPr>
          <w:rFonts w:ascii="楷体" w:eastAsia="楷体" w:hAnsi="楷体" w:cs="楷体" w:hint="eastAsia"/>
        </w:rPr>
        <w:t>涨幅</w:t>
      </w:r>
      <w:r w:rsidR="00354441">
        <w:rPr>
          <w:rFonts w:ascii="楷体" w:eastAsia="楷体" w:hAnsi="楷体" w:cs="楷体" w:hint="eastAsia"/>
        </w:rPr>
        <w:t>2.06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45649F">
        <w:rPr>
          <w:rFonts w:ascii="楷体" w:eastAsia="楷体" w:hAnsi="楷体" w:cs="楷体" w:hint="eastAsia"/>
        </w:rPr>
        <w:t>13</w:t>
      </w:r>
      <w:r w:rsidR="00354441">
        <w:rPr>
          <w:rFonts w:ascii="楷体" w:eastAsia="楷体" w:hAnsi="楷体" w:cs="楷体" w:hint="eastAsia"/>
        </w:rPr>
        <w:t>411.81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4C5CAEBB" w14:textId="678BF794" w:rsidR="00354441" w:rsidRPr="00354441" w:rsidRDefault="00F66560" w:rsidP="00354441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354441">
        <w:rPr>
          <w:rFonts w:ascii="楷体" w:eastAsia="楷体" w:hAnsi="楷体" w:cs="楷体" w:hint="eastAsia"/>
          <w:b/>
          <w:bCs/>
        </w:rPr>
        <w:t>全线反弹</w:t>
      </w:r>
      <w:r>
        <w:rPr>
          <w:rFonts w:ascii="楷体" w:eastAsia="楷体" w:hAnsi="楷体" w:cs="楷体" w:hint="eastAsia"/>
          <w:b/>
          <w:bCs/>
        </w:rPr>
        <w:t>。</w:t>
      </w:r>
      <w:r w:rsidR="00354441">
        <w:rPr>
          <w:rFonts w:ascii="楷体" w:eastAsia="楷体" w:hAnsi="楷体" w:cs="楷体" w:hint="eastAsia"/>
        </w:rPr>
        <w:t>盘初，</w:t>
      </w:r>
      <w:r w:rsidR="00354441" w:rsidRPr="00354441">
        <w:rPr>
          <w:rFonts w:ascii="楷体" w:eastAsia="楷体" w:hAnsi="楷体" w:cs="楷体" w:hint="eastAsia"/>
        </w:rPr>
        <w:t>PCB概念股反复活跃，宏昌电子、泰金新能、大为股份、</w:t>
      </w:r>
      <w:proofErr w:type="gramStart"/>
      <w:r w:rsidR="00354441" w:rsidRPr="00354441">
        <w:rPr>
          <w:rFonts w:ascii="楷体" w:eastAsia="楷体" w:hAnsi="楷体" w:cs="楷体" w:hint="eastAsia"/>
        </w:rPr>
        <w:t>沪电股份</w:t>
      </w:r>
      <w:proofErr w:type="gramEnd"/>
      <w:r w:rsidR="00354441" w:rsidRPr="00354441">
        <w:rPr>
          <w:rFonts w:ascii="楷体" w:eastAsia="楷体" w:hAnsi="楷体" w:cs="楷体" w:hint="eastAsia"/>
        </w:rPr>
        <w:t>盘中创新高，中英科技、温州宏</w:t>
      </w:r>
      <w:proofErr w:type="gramStart"/>
      <w:r w:rsidR="00354441" w:rsidRPr="00354441">
        <w:rPr>
          <w:rFonts w:ascii="楷体" w:eastAsia="楷体" w:hAnsi="楷体" w:cs="楷体" w:hint="eastAsia"/>
        </w:rPr>
        <w:t>丰涨超</w:t>
      </w:r>
      <w:proofErr w:type="gramEnd"/>
      <w:r w:rsidR="00354441" w:rsidRPr="00354441">
        <w:rPr>
          <w:rFonts w:ascii="楷体" w:eastAsia="楷体" w:hAnsi="楷体" w:cs="楷体" w:hint="eastAsia"/>
        </w:rPr>
        <w:t>10%，美联新材、迅捷兴、天通股份、弘信电子跟涨。CPO概念股震荡走高，泰金新能20cm涨停，华盛昌此前封板，长光华芯、中</w:t>
      </w:r>
      <w:proofErr w:type="gramStart"/>
      <w:r w:rsidR="00354441" w:rsidRPr="00354441">
        <w:rPr>
          <w:rFonts w:ascii="楷体" w:eastAsia="楷体" w:hAnsi="楷体" w:cs="楷体" w:hint="eastAsia"/>
        </w:rPr>
        <w:t>际旭创</w:t>
      </w:r>
      <w:proofErr w:type="gramEnd"/>
      <w:r w:rsidR="00354441" w:rsidRPr="00354441">
        <w:rPr>
          <w:rFonts w:ascii="楷体" w:eastAsia="楷体" w:hAnsi="楷体" w:cs="楷体" w:hint="eastAsia"/>
        </w:rPr>
        <w:t>、生</w:t>
      </w:r>
      <w:proofErr w:type="gramStart"/>
      <w:r w:rsidR="00354441" w:rsidRPr="00354441">
        <w:rPr>
          <w:rFonts w:ascii="楷体" w:eastAsia="楷体" w:hAnsi="楷体" w:cs="楷体" w:hint="eastAsia"/>
        </w:rPr>
        <w:t>益科技</w:t>
      </w:r>
      <w:proofErr w:type="gramEnd"/>
      <w:r w:rsidR="00354441" w:rsidRPr="00354441">
        <w:rPr>
          <w:rFonts w:ascii="楷体" w:eastAsia="楷体" w:hAnsi="楷体" w:cs="楷体" w:hint="eastAsia"/>
        </w:rPr>
        <w:t>纷纷上扬。存储芯片板块持续走高，太极实业触及涨停，大为股份、大族激光此前封板，</w:t>
      </w:r>
      <w:proofErr w:type="gramStart"/>
      <w:r w:rsidR="00354441" w:rsidRPr="00354441">
        <w:rPr>
          <w:rFonts w:ascii="楷体" w:eastAsia="楷体" w:hAnsi="楷体" w:cs="楷体" w:hint="eastAsia"/>
        </w:rPr>
        <w:t>佰维存储</w:t>
      </w:r>
      <w:proofErr w:type="gramEnd"/>
      <w:r w:rsidR="00354441" w:rsidRPr="00354441">
        <w:rPr>
          <w:rFonts w:ascii="楷体" w:eastAsia="楷体" w:hAnsi="楷体" w:cs="楷体" w:hint="eastAsia"/>
        </w:rPr>
        <w:t>、江波龙、香农芯创涨幅居前</w:t>
      </w:r>
      <w:r w:rsidR="0086657B" w:rsidRPr="0086657B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867D27">
        <w:rPr>
          <w:rFonts w:ascii="楷体" w:eastAsia="楷体" w:hAnsi="楷体" w:cs="楷体" w:hint="eastAsia"/>
        </w:rPr>
        <w:t>、</w:t>
      </w:r>
      <w:r w:rsidR="00156304">
        <w:rPr>
          <w:rFonts w:ascii="楷体" w:eastAsia="楷体" w:hAnsi="楷体" w:cs="楷体" w:hint="eastAsia"/>
        </w:rPr>
        <w:t>半导体设计</w:t>
      </w:r>
      <w:r w:rsidR="00354441">
        <w:rPr>
          <w:rFonts w:ascii="楷体" w:eastAsia="楷体" w:hAnsi="楷体" w:cs="楷体" w:hint="eastAsia"/>
        </w:rPr>
        <w:t>、</w:t>
      </w:r>
      <w:r w:rsidR="0045649F" w:rsidRPr="0045649F">
        <w:rPr>
          <w:rFonts w:ascii="楷体" w:eastAsia="楷体" w:hAnsi="楷体" w:cs="楷体" w:hint="eastAsia"/>
        </w:rPr>
        <w:t>半导体设备材料</w:t>
      </w:r>
      <w:r w:rsidR="00354441">
        <w:rPr>
          <w:rFonts w:ascii="楷体" w:eastAsia="楷体" w:hAnsi="楷体" w:cs="楷体" w:hint="eastAsia"/>
        </w:rPr>
        <w:t>板块全线上涨</w:t>
      </w:r>
      <w:r w:rsidR="00FB462B">
        <w:rPr>
          <w:rFonts w:ascii="楷体" w:eastAsia="楷体" w:hAnsi="楷体" w:cs="楷体" w:hint="eastAsia"/>
        </w:rPr>
        <w:t>。</w:t>
      </w:r>
      <w:r w:rsidR="00354441" w:rsidRPr="00354441">
        <w:rPr>
          <w:rFonts w:ascii="楷体" w:eastAsia="楷体" w:hAnsi="楷体" w:cs="楷体" w:hint="eastAsia"/>
        </w:rPr>
        <w:t>在指数结构上，</w:t>
      </w:r>
      <w:r w:rsidR="00354441">
        <w:rPr>
          <w:rFonts w:ascii="楷体" w:eastAsia="楷体" w:hAnsi="楷体" w:cs="楷体" w:hint="eastAsia"/>
        </w:rPr>
        <w:t>半导体相关指数</w:t>
      </w:r>
      <w:r w:rsidR="00354441" w:rsidRPr="00354441">
        <w:rPr>
          <w:rFonts w:ascii="楷体" w:eastAsia="楷体" w:hAnsi="楷体" w:cs="楷体" w:hint="eastAsia"/>
        </w:rPr>
        <w:t>显著跑赢沪指并与创业</w:t>
      </w:r>
      <w:proofErr w:type="gramStart"/>
      <w:r w:rsidR="00354441" w:rsidRPr="00354441">
        <w:rPr>
          <w:rFonts w:ascii="楷体" w:eastAsia="楷体" w:hAnsi="楷体" w:cs="楷体" w:hint="eastAsia"/>
        </w:rPr>
        <w:t>板指数</w:t>
      </w:r>
      <w:proofErr w:type="gramEnd"/>
      <w:r w:rsidR="00354441" w:rsidRPr="00354441">
        <w:rPr>
          <w:rFonts w:ascii="楷体" w:eastAsia="楷体" w:hAnsi="楷体" w:cs="楷体" w:hint="eastAsia"/>
        </w:rPr>
        <w:t>形成共振，体现出半导体板块在当前阶段已从“跟随修复”转向“主动领涨”的角色切换。与</w:t>
      </w:r>
      <w:r w:rsidR="00354441">
        <w:rPr>
          <w:rFonts w:ascii="楷体" w:eastAsia="楷体" w:hAnsi="楷体" w:cs="楷体" w:hint="eastAsia"/>
        </w:rPr>
        <w:t>过去几个交易日</w:t>
      </w:r>
      <w:r w:rsidR="00354441" w:rsidRPr="00354441">
        <w:rPr>
          <w:rFonts w:ascii="楷体" w:eastAsia="楷体" w:hAnsi="楷体" w:cs="楷体" w:hint="eastAsia"/>
        </w:rPr>
        <w:t>相比，板块不仅延续上涨，更重要的是呈现出由局部热点扩散至全产业链的特征，显示资金对半导体中期景气度的认可度进一步提升，而非单一主题驱动的脉冲式行情。</w:t>
      </w:r>
    </w:p>
    <w:p w14:paraId="10E450EE" w14:textId="10DBBF59" w:rsidR="00354441" w:rsidRPr="00156304" w:rsidRDefault="00354441" w:rsidP="00354441">
      <w:pPr>
        <w:ind w:firstLineChars="200" w:firstLine="422"/>
        <w:rPr>
          <w:rFonts w:ascii="楷体" w:eastAsia="楷体" w:hAnsi="楷体" w:cs="楷体"/>
        </w:rPr>
      </w:pPr>
      <w:r w:rsidRPr="00354441">
        <w:rPr>
          <w:rFonts w:ascii="楷体" w:eastAsia="楷体" w:hAnsi="楷体" w:cs="楷体" w:hint="eastAsia"/>
          <w:b/>
          <w:bCs/>
        </w:rPr>
        <w:t>建议策略：</w:t>
      </w:r>
      <w:r w:rsidRPr="00354441">
        <w:rPr>
          <w:rFonts w:ascii="楷体" w:eastAsia="楷体" w:hAnsi="楷体" w:cs="楷体" w:hint="eastAsia"/>
        </w:rPr>
        <w:t>当前阶段应适度提高对电子与半导体板块的配置权重，但仍需强调节奏与结构。一方面，AI算力（CPO、服务器、PCB）</w:t>
      </w:r>
      <w:proofErr w:type="gramStart"/>
      <w:r w:rsidRPr="00354441">
        <w:rPr>
          <w:rFonts w:ascii="楷体" w:eastAsia="楷体" w:hAnsi="楷体" w:cs="楷体" w:hint="eastAsia"/>
        </w:rPr>
        <w:t>仍是中期</w:t>
      </w:r>
      <w:proofErr w:type="gramEnd"/>
      <w:r w:rsidRPr="00354441">
        <w:rPr>
          <w:rFonts w:ascii="楷体" w:eastAsia="楷体" w:hAnsi="楷体" w:cs="楷体" w:hint="eastAsia"/>
        </w:rPr>
        <w:t>主线，建议作为核心配置方向；另一方面，存储板块在价格周期驱动下具备较强业绩弹性，可作为景气度增强的进攻型配置；设备与材料则适合在回调后逐步布局，承担组合中的中长期成长属性。在操作上，应避免在板块全面加速阶段盲目追高，而是通过“主线持有+分歧加仓”的方式优化持仓结构。在当前市场由修复向扩散过渡的阶段，能否把握主线内部节奏与子行业轮动，将成为获取超额收益的关键。</w:t>
      </w:r>
    </w:p>
    <w:p w14:paraId="70E8BD49" w14:textId="10B1CB7C" w:rsidR="00576E01" w:rsidRPr="00156304" w:rsidRDefault="00576E01" w:rsidP="00354441">
      <w:pPr>
        <w:ind w:firstLineChars="200" w:firstLine="420"/>
        <w:rPr>
          <w:rFonts w:ascii="楷体" w:eastAsia="楷体" w:hAnsi="楷体" w:cs="楷体"/>
        </w:rPr>
      </w:pPr>
    </w:p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7236" w14:textId="77777777" w:rsidR="0041212A" w:rsidRDefault="0041212A" w:rsidP="00085164">
      <w:r>
        <w:separator/>
      </w:r>
    </w:p>
  </w:endnote>
  <w:endnote w:type="continuationSeparator" w:id="0">
    <w:p w14:paraId="74BAD81A" w14:textId="77777777" w:rsidR="0041212A" w:rsidRDefault="0041212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C987" w14:textId="77777777" w:rsidR="0041212A" w:rsidRDefault="0041212A" w:rsidP="00085164">
      <w:r>
        <w:separator/>
      </w:r>
    </w:p>
  </w:footnote>
  <w:footnote w:type="continuationSeparator" w:id="0">
    <w:p w14:paraId="4C372A47" w14:textId="77777777" w:rsidR="0041212A" w:rsidRDefault="0041212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1A43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0FCA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441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212A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49F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07A7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AC2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5A5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A99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4E55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0ABF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324</cp:revision>
  <dcterms:created xsi:type="dcterms:W3CDTF">2025-07-14T07:12:00Z</dcterms:created>
  <dcterms:modified xsi:type="dcterms:W3CDTF">2026-04-14T07:31:00Z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