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电子半导体行情点评（4月15日）</w:t>
      </w:r>
    </w:p>
    <w:p>
      <w:pPr>
        <w:ind w:firstLineChars="200" w:firstLine="422"/>
        <w:rPr>
          <w:rFonts w:ascii="楷体" w:eastAsia="楷体" w:hAnsi="楷体" w:cs="楷体"/>
        </w:rPr>
      </w:pPr>
      <w:r>
        <w:rPr>
          <w:rFonts w:ascii="楷体" w:eastAsia="楷体" w:hAnsi="楷体" w:cs="楷体"/>
        </w:rPr>
        <w:t xml:space="preserve">A股三大股指涨跌分化。沪指收盘上涨0.58点，涨幅：0.01%，报4027.21点；深指收盘下跌141.50点，跌幅：0.97%，报14498.45点；创业板指数收盘下跌43.57点，跌幅：1.22%，报3514.96点；国证芯片（980017）指数收盘下跌约61点，跌幅约0.46%，报约13350点。</w:t>
      </w:r>
    </w:p>
    <w:p>
      <w:pPr>
        <w:ind w:firstLineChars="200" w:firstLine="422"/>
        <w:rPr>
          <w:rFonts w:ascii="楷体" w:eastAsia="楷体" w:hAnsi="楷体" w:cs="楷体"/>
        </w:rPr>
      </w:pPr>
      <w:r>
        <w:rPr>
          <w:rFonts w:ascii="楷体" w:eastAsia="楷体" w:hAnsi="楷体" w:cs="楷体"/>
        </w:rPr>
        <w:t xml:space="preserve">半导体板块高开回落，前期强势板块出现技术性获利兑现压力。盘初，CPO概念股早盘延续前日强势，仕佳光子、华盛昌冲高后震荡回落。午后，消费电子板块走弱拖累整体情绪，存储芯片方向冲高回落，佰维存储、江波龙跟随市场回调。消息面上，日月光投控子公司发布公告，拟以148.5亿新台币收购群创光电南科Fab5厂区，先进封装扩产逻辑引发市场关注，鼎龙股份、盛剑科技等先进封装标的抗跌表现相对强势。截至收盘，PCB板块小幅回调，消费电子板块领跌，半导体设计板块分化震荡，半导体设备材料板块表现相对抗跌。今日市场表现符合强势上涨后技术性整理的规律，属于正常的获利盘兑现行为，并非趋势性转弱信号。深证、创业板的回调压力主要来自消费电子与部分高位设计股，而核心算力标的与设备材料方向依旧相对坚挺，半导体内部“强者恒强”的结构特征依然清晰。日月光投控的先进封装扩产公告进一步强化了全球封测供给端的中期逻辑，是当日市场最主要的结构性正向催化。综合来看，短期获利盘压力虽然存在，但半导体中期上行趋势并未改变，当前调整提供了优化持仓结构的良机。</w:t>
      </w:r>
    </w:p>
    <w:p>
      <w:pPr>
        <w:ind w:firstLineChars="200" w:firstLine="422"/>
        <w:rPr>
          <w:rFonts w:ascii="楷体" w:eastAsia="楷体" w:hAnsi="楷体" w:cs="楷体"/>
        </w:rPr>
      </w:pPr>
      <w:r>
        <w:rPr>
          <w:rFonts w:ascii="楷体" w:eastAsia="楷体" w:hAnsi="楷体" w:cs="楷体"/>
        </w:rPr>
        <w:t xml:space="preserve">建议策略：当前调整属于上行趋势中的节奏整理，不宜过度解读为方向性转折。AI算力链条（CPO、PCB、服务器）仍为核心配置方向，建议在回调中逢低布局；先进封装在日月光扩产逻辑催化下具备阶段性主题机会，可适度关注；存储板块持续跟踪价格周期信号，维持中期看多判断；消费电子与部分高估值设计股宜控制仓位，等待业绩验证窗口再行配置。</w:t>
      </w:r>
    </w:p>
    <w:p/>
    <w:sectPr w:rsidR="00576E01" w:rsidRPr="0015630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9F85" w14:textId="77777777" w:rsidR="00C74D7A" w:rsidRDefault="00C74D7A" w:rsidP="00085164">
      <w:r>
        <w:separator/>
      </w:r>
    </w:p>
  </w:endnote>
  <w:endnote w:type="continuationSeparator" w:id="0">
    <w:p w14:paraId="67956307" w14:textId="77777777" w:rsidR="00C74D7A" w:rsidRDefault="00C74D7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F988"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C2CD"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378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0C10" w14:textId="77777777" w:rsidR="00C74D7A" w:rsidRDefault="00C74D7A" w:rsidP="00085164">
      <w:r>
        <w:separator/>
      </w:r>
    </w:p>
  </w:footnote>
  <w:footnote w:type="continuationSeparator" w:id="0">
    <w:p w14:paraId="40F70B9D" w14:textId="77777777" w:rsidR="00C74D7A" w:rsidRDefault="00C74D7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25AD"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D9CE"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418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3D9B"/>
    <w:rsid w:val="002943FA"/>
    <w:rsid w:val="0029500B"/>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5BDB"/>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13631</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318</cp:revision>
  <dcterms:created xsi:type="dcterms:W3CDTF">2025-07-14T07:12:00Z</dcterms:created>
  <dcterms:modified xsi:type="dcterms:W3CDTF">2026-04-09T07:32:00Z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