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电子半导体行情点评（4月16日）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</w:rPr>
        <w:t xml:space="preserve">A股三大股指全面上涨。沪指收盘上涨28.34点，涨幅：0.70%，报4055.55点；深指收盘上涨297.88点，涨幅：2.05%，报14796.33点；创业板指数收盘上涨111.31点，涨幅：3.17%，报3626.27点；国证芯片（980017）指数收盘大幅上涨，涨幅约1.88%，报约13601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</w:rPr>
        <w:t xml:space="preserve">半导体板块强势拉升，与创业板同步领涨，科技成长主线进一步确立。盘初，芯片设计概念股低开高走，海光信息、兆易创新早盘冲高，存储芯片板块延续强势，江波龙、香农芯创涨幅居前。午后，CPO与光模块概念持续活跃，长光华芯、中际旭创纷纷上扬，生益科技、沪电股份跟涨。半导体设备板块尾盘加速拉升，北方华创、中微公司涨幅扩大，国产替代逻辑持续获得资金认可。截至收盘，PCB、消费电子、半导体设计、半导体设备材料板块全线上涨，半导体相关指数涨幅显著领先沪指，与创业板指数形成共振，板块“主动领涨”特征再度显现。今日创业板大幅上涨3.17%，半导体指数同步领涨，与昨日技术性回调形成鲜明对比，体现出市场对半导体中期景气度的高度认可。从内部结构来看，芯片设计、存储、CPO光模块与设备材料多线共振，资金覆盖范围持续扩大，由“主题轮动”进一步转向“全面扩散”，表明本轮行情具有产业景气支撑的趋势性特征，而非单一催化驱动的脉冲式反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</w:rPr>
        <w:t xml:space="preserve">建议策略：当前板块处于趋势向上、结构扩散的优势阶段，配置策略应维持积极。AI算力产业链（CPO、PCB、高速连接）作为核心主线，建议持有为主，分歧时加仓；存储板块受益于量价齐升逻辑，中期弹性较强，可作为进攻型方向适度超配；半导体设备与材料在国产替代与景气上行双重驱动下，适合以中长期视角持续布局；消费电子方向可跟踪新品发布节奏，择机参与阶段性机会。整体而言，在市场成交量维持活跃背景下，应以持有主线、动态调仓为核心策略，避免过度追逐短期热点导致踏空主线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