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7CFC8CF8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B23F2B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86657B">
        <w:rPr>
          <w:rFonts w:ascii="楷体" w:eastAsia="楷体" w:hAnsi="楷体" w:cs="楷体" w:hint="eastAsia"/>
          <w:b/>
          <w:bCs/>
          <w:sz w:val="28"/>
          <w:szCs w:val="36"/>
        </w:rPr>
        <w:t>2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2E702CEA" w:rsidR="00BD2EA4" w:rsidRDefault="00606FDC" w:rsidP="00BD2EA4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86657B">
        <w:rPr>
          <w:rFonts w:ascii="楷体" w:eastAsia="楷体" w:hAnsi="楷体" w:cs="楷体" w:hint="eastAsia"/>
          <w:b/>
          <w:bCs/>
        </w:rPr>
        <w:t>低开低</w:t>
      </w:r>
      <w:r w:rsidR="00B23F2B">
        <w:rPr>
          <w:rFonts w:ascii="楷体" w:eastAsia="楷体" w:hAnsi="楷体" w:cs="楷体" w:hint="eastAsia"/>
          <w:b/>
          <w:bCs/>
        </w:rPr>
        <w:t>走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86657B" w:rsidRPr="0086657B">
        <w:rPr>
          <w:rFonts w:ascii="楷体" w:eastAsia="楷体" w:hAnsi="楷体" w:cs="楷体" w:hint="eastAsia"/>
        </w:rPr>
        <w:t>收盘下跌29.27点，跌幅：0.74%，报3919.29点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86657B" w:rsidRPr="0086657B">
        <w:rPr>
          <w:rFonts w:ascii="楷体" w:eastAsia="楷体" w:hAnsi="楷体" w:cs="楷体" w:hint="eastAsia"/>
        </w:rPr>
        <w:t>收盘下跌219.58点，跌幅：1.6%，报13486.94点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业板指数</w:t>
      </w:r>
      <w:r w:rsidR="0086657B" w:rsidRPr="0086657B">
        <w:rPr>
          <w:rFonts w:ascii="楷体" w:eastAsia="楷体" w:hAnsi="楷体" w:cs="楷体" w:hint="eastAsia"/>
        </w:rPr>
        <w:t>收盘下跌74.87点，跌幅：2.31%，报3172.65点</w:t>
      </w:r>
      <w:r w:rsidR="00DE1A05" w:rsidRPr="00DE1A05">
        <w:rPr>
          <w:rFonts w:ascii="楷体" w:eastAsia="楷体" w:hAnsi="楷体" w:cs="楷体" w:hint="eastAsia"/>
        </w:rPr>
        <w:t>；</w:t>
      </w:r>
      <w:r w:rsidR="00386FA4" w:rsidRPr="00386FA4">
        <w:rPr>
          <w:rFonts w:ascii="楷体" w:eastAsia="楷体" w:hAnsi="楷体" w:cs="楷体" w:hint="eastAsia"/>
        </w:rPr>
        <w:t>国证芯片（980017）指数收</w:t>
      </w:r>
      <w:r w:rsidR="009D762D">
        <w:rPr>
          <w:rFonts w:ascii="楷体" w:eastAsia="楷体" w:hAnsi="楷体" w:cs="楷体" w:hint="eastAsia"/>
        </w:rPr>
        <w:t>盘</w:t>
      </w:r>
      <w:r w:rsidR="0086657B">
        <w:rPr>
          <w:rFonts w:ascii="楷体" w:eastAsia="楷体" w:hAnsi="楷体" w:cs="楷体" w:hint="eastAsia"/>
        </w:rPr>
        <w:t>下跌364.64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</w:t>
      </w:r>
      <w:r w:rsidR="0086657B">
        <w:rPr>
          <w:rFonts w:ascii="楷体" w:eastAsia="楷体" w:hAnsi="楷体" w:cs="楷体" w:hint="eastAsia"/>
        </w:rPr>
        <w:t>跌幅2.97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86657B">
        <w:rPr>
          <w:rFonts w:ascii="楷体" w:eastAsia="楷体" w:hAnsi="楷体" w:cs="楷体" w:hint="eastAsia"/>
        </w:rPr>
        <w:t>11928.16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23EF7D77" w14:textId="573F0C33" w:rsidR="0086657B" w:rsidRPr="0086657B" w:rsidRDefault="00F66560" w:rsidP="0086657B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86657B">
        <w:rPr>
          <w:rFonts w:ascii="楷体" w:eastAsia="楷体" w:hAnsi="楷体" w:cs="楷体" w:hint="eastAsia"/>
          <w:b/>
          <w:bCs/>
        </w:rPr>
        <w:t>震荡回调</w:t>
      </w:r>
      <w:r>
        <w:rPr>
          <w:rFonts w:ascii="楷体" w:eastAsia="楷体" w:hAnsi="楷体" w:cs="楷体" w:hint="eastAsia"/>
          <w:b/>
          <w:bCs/>
        </w:rPr>
        <w:t>。</w:t>
      </w:r>
      <w:r w:rsidR="00324CB7">
        <w:rPr>
          <w:rFonts w:ascii="楷体" w:eastAsia="楷体" w:hAnsi="楷体" w:cs="楷体" w:hint="eastAsia"/>
        </w:rPr>
        <w:t>盘初，</w:t>
      </w:r>
      <w:r w:rsidR="0086657B" w:rsidRPr="0086657B">
        <w:rPr>
          <w:rFonts w:ascii="楷体" w:eastAsia="楷体" w:hAnsi="楷体" w:cs="楷体" w:hint="eastAsia"/>
        </w:rPr>
        <w:t>共封装光学(CPO)板块短线走低，凯格精机跌超8%，南亚新材、深圳华强、华盛昌、亚康股份等跟跌。</w:t>
      </w:r>
      <w:r w:rsidR="001F5812">
        <w:rPr>
          <w:rFonts w:ascii="楷体" w:eastAsia="楷体" w:hAnsi="楷体" w:cs="楷体" w:hint="eastAsia"/>
        </w:rPr>
        <w:t>截至收盘，PCB、</w:t>
      </w:r>
      <w:r w:rsidR="00F849C2">
        <w:rPr>
          <w:rFonts w:ascii="楷体" w:eastAsia="楷体" w:hAnsi="楷体" w:cs="楷体" w:hint="eastAsia"/>
        </w:rPr>
        <w:t>半导体设备材料</w:t>
      </w:r>
      <w:r w:rsidR="001F5812">
        <w:rPr>
          <w:rFonts w:ascii="楷体" w:eastAsia="楷体" w:hAnsi="楷体" w:cs="楷体" w:hint="eastAsia"/>
        </w:rPr>
        <w:t>板块</w:t>
      </w:r>
      <w:r w:rsidR="00115C62">
        <w:rPr>
          <w:rFonts w:ascii="楷体" w:eastAsia="楷体" w:hAnsi="楷体" w:cs="楷体" w:hint="eastAsia"/>
        </w:rPr>
        <w:t>、</w:t>
      </w:r>
      <w:r w:rsidR="00324CB7" w:rsidRPr="00324CB7">
        <w:rPr>
          <w:rFonts w:ascii="楷体" w:eastAsia="楷体" w:hAnsi="楷体" w:cs="楷体" w:hint="eastAsia"/>
        </w:rPr>
        <w:t>半导体设计、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FB462B">
        <w:rPr>
          <w:rFonts w:ascii="楷体" w:eastAsia="楷体" w:hAnsi="楷体" w:cs="楷体" w:hint="eastAsia"/>
        </w:rPr>
        <w:t>板块</w:t>
      </w:r>
      <w:r w:rsidR="00115C62">
        <w:rPr>
          <w:rFonts w:ascii="楷体" w:eastAsia="楷体" w:hAnsi="楷体" w:cs="楷体" w:hint="eastAsia"/>
        </w:rPr>
        <w:t>全线</w:t>
      </w:r>
      <w:r w:rsidR="0086657B">
        <w:rPr>
          <w:rFonts w:ascii="楷体" w:eastAsia="楷体" w:hAnsi="楷体" w:cs="楷体" w:hint="eastAsia"/>
        </w:rPr>
        <w:t>回调</w:t>
      </w:r>
      <w:r w:rsidR="00FB462B">
        <w:rPr>
          <w:rFonts w:ascii="楷体" w:eastAsia="楷体" w:hAnsi="楷体" w:cs="楷体" w:hint="eastAsia"/>
        </w:rPr>
        <w:t>。</w:t>
      </w:r>
      <w:r w:rsidR="0086657B" w:rsidRPr="0086657B">
        <w:rPr>
          <w:rFonts w:ascii="楷体" w:eastAsia="楷体" w:hAnsi="楷体" w:cs="楷体" w:hint="eastAsia"/>
        </w:rPr>
        <w:t>电子半导体板块在昨日强修复后迅速回调</w:t>
      </w:r>
      <w:r w:rsidR="0086657B">
        <w:rPr>
          <w:rFonts w:ascii="楷体" w:eastAsia="楷体" w:hAnsi="楷体" w:cs="楷体" w:hint="eastAsia"/>
        </w:rPr>
        <w:t>，</w:t>
      </w:r>
      <w:r w:rsidR="0086657B" w:rsidRPr="0086657B">
        <w:rPr>
          <w:rFonts w:ascii="楷体" w:eastAsia="楷体" w:hAnsi="楷体" w:cs="楷体" w:hint="eastAsia"/>
        </w:rPr>
        <w:t>基本回吐大部分反弹幅度，体现出板块“高弹性+高波动”的典型特征。从交易结构来看，这种连续两日“V型反转”本质上反映了当前市场对半导体的分歧正在加剧：中长期逻辑依然强，但短期交易层面高度拥挤，导致上涨与下跌都被放大。整体来看，当日半导体板块的回调，本质上是“情绪修复后的再平衡”，而非趋势反转。市场当前处于一个较为典型的阶段：产业基本面强劲（AI+涨价+国产替代），但交易层面缺乏稳定性（高波动+高轮动）。在这种环境下，板块往往呈现出“上涨靠预期、下跌靠兑现”的特征，导致短期走势反复。</w:t>
      </w:r>
    </w:p>
    <w:p w14:paraId="57F6A058" w14:textId="04C00517" w:rsidR="0086657B" w:rsidRPr="00741D1E" w:rsidRDefault="0086657B" w:rsidP="0086657B">
      <w:pPr>
        <w:ind w:firstLineChars="200" w:firstLine="422"/>
        <w:rPr>
          <w:rFonts w:ascii="楷体" w:eastAsia="楷体" w:hAnsi="楷体" w:cs="楷体"/>
        </w:rPr>
      </w:pPr>
      <w:r w:rsidRPr="0086657B">
        <w:rPr>
          <w:rFonts w:ascii="楷体" w:eastAsia="楷体" w:hAnsi="楷体" w:cs="楷体" w:hint="eastAsia"/>
          <w:b/>
          <w:bCs/>
        </w:rPr>
        <w:t>建议策略</w:t>
      </w:r>
      <w:r>
        <w:rPr>
          <w:rFonts w:ascii="楷体" w:eastAsia="楷体" w:hAnsi="楷体" w:cs="楷体" w:hint="eastAsia"/>
        </w:rPr>
        <w:t>：</w:t>
      </w:r>
      <w:r w:rsidRPr="0086657B">
        <w:rPr>
          <w:rFonts w:ascii="楷体" w:eastAsia="楷体" w:hAnsi="楷体" w:cs="楷体" w:hint="eastAsia"/>
        </w:rPr>
        <w:t>从策略角度看，当前阶段不宜简单将单日上涨或下跌线性外推。存储链条仍是最核心主线，其价格与需求逻辑尚未被证伪，调整更多提供中期布局机会；算力链（CPO、光模块、PCB）在经历前期上涨后进入震荡消化阶段，短期需等待新的催化；半导体设备与材料具备较强中期确定性，可作为底仓配置；消费电子则需继续观察需求侧改善信号。在指数未形成趋势、量能未有效放大的情况下，应更加重视节奏管理与仓位控制，通过“回调布局核心资产、反弹降低短期拥挤仓位”的方式，在高波动环境中获取更稳健的收益。</w:t>
      </w:r>
    </w:p>
    <w:p w14:paraId="70E8BD49" w14:textId="308A9D5F" w:rsidR="00576E01" w:rsidRPr="00741D1E" w:rsidRDefault="00576E01" w:rsidP="0086657B">
      <w:pPr>
        <w:ind w:firstLineChars="200" w:firstLine="420"/>
        <w:rPr>
          <w:rFonts w:ascii="楷体" w:eastAsia="楷体" w:hAnsi="楷体" w:cs="楷体" w:hint="eastAsia"/>
        </w:rPr>
      </w:pPr>
    </w:p>
    <w:sectPr w:rsidR="00576E01" w:rsidRPr="00741D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E8F8" w14:textId="77777777" w:rsidR="00895FB6" w:rsidRDefault="00895FB6" w:rsidP="00085164">
      <w:r>
        <w:separator/>
      </w:r>
    </w:p>
  </w:endnote>
  <w:endnote w:type="continuationSeparator" w:id="0">
    <w:p w14:paraId="500F4A37" w14:textId="77777777" w:rsidR="00895FB6" w:rsidRDefault="00895FB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0970C" w14:textId="77777777" w:rsidR="00895FB6" w:rsidRDefault="00895FB6" w:rsidP="00085164">
      <w:r>
        <w:separator/>
      </w:r>
    </w:p>
  </w:footnote>
  <w:footnote w:type="continuationSeparator" w:id="0">
    <w:p w14:paraId="7FE446AB" w14:textId="77777777" w:rsidR="00895FB6" w:rsidRDefault="00895FB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5D9B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2399A"/>
    <w:rsid w:val="00B23F2B"/>
    <w:rsid w:val="00B2518E"/>
    <w:rsid w:val="00B26C72"/>
    <w:rsid w:val="00B31A09"/>
    <w:rsid w:val="00B31E64"/>
    <w:rsid w:val="00B35877"/>
    <w:rsid w:val="00B37EDD"/>
    <w:rsid w:val="00B43E24"/>
    <w:rsid w:val="00B4407C"/>
    <w:rsid w:val="00B440A1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504B"/>
    <w:rsid w:val="00C768EC"/>
    <w:rsid w:val="00C84D05"/>
    <w:rsid w:val="00C85519"/>
    <w:rsid w:val="00C86E73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310</cp:revision>
  <dcterms:created xsi:type="dcterms:W3CDTF">2025-07-14T07:12:00Z</dcterms:created>
  <dcterms:modified xsi:type="dcterms:W3CDTF">2026-04-02T07:24:00Z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