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电子半导体行情点评（4月23日）</w:t>
      </w:r>
    </w:p>
    <w:p>
      <w:pPr>
        <w:ind w:firstLineChars="200" w:firstLine="422"/>
        <w:rPr>
          <w:rFonts w:ascii="楷体" w:eastAsia="楷体" w:hAnsi="楷体" w:cs="楷体"/>
        </w:rPr>
      </w:pPr>
      <w:r>
        <w:rPr>
          <w:rFonts w:ascii="楷体" w:eastAsia="楷体" w:hAnsi="楷体" w:cs="楷体"/>
          <w:b/>
          <w:bCs/>
        </w:rPr>
        <w:t xml:space="preserve">A股三大股指高开低走，全线收跌。</w:t>
      </w:r>
      <w:r>
        <w:rPr>
          <w:rFonts w:ascii="楷体" w:eastAsia="楷体" w:hAnsi="楷体" w:cs="楷体"/>
        </w:rPr>
        <w:t xml:space="preserve">沪指收盘下跌13.01点，跌幅：0.32%，报4093.25点；深指收盘下跌133.84点，跌幅：0.88%，报15043.45点；创业板指数收盘下跌32.51点，跌幅：0.87%，报3720.25点；国证芯片（980017）指数收盘下跌197.15点，跌幅：1.41%，报13809.60点。</w:t>
      </w:r>
    </w:p>
    <w:p>
      <w:pPr>
        <w:ind w:firstLineChars="200" w:firstLine="422"/>
        <w:rPr>
          <w:rFonts w:ascii="楷体" w:eastAsia="楷体" w:hAnsi="楷体" w:cs="楷体"/>
        </w:rPr>
      </w:pPr>
      <w:r>
        <w:rPr>
          <w:rFonts w:ascii="楷体" w:eastAsia="楷体" w:hAnsi="楷体" w:cs="楷体"/>
          <w:b/>
          <w:bCs/>
        </w:rPr>
        <w:t xml:space="preserve">半导体板块整体回调。</w:t>
      </w:r>
      <w:r>
        <w:rPr>
          <w:rFonts w:ascii="楷体" w:eastAsia="楷体" w:hAnsi="楷体" w:cs="楷体"/>
        </w:rPr>
        <w:t xml:space="preserve">盘初，半导体材料方向率先发力，受三星、SK海力士收到日本供应商通知称光刻胶等原材料采购出现中断消息提振，怡达股份20CM涨停，百川股份涨停，格林达、彤程新材等同步高开；存储器概念同步活跃，佰维存储涨超4%，兆易创新、恒烁股份涨超3%。午后，CPO等算力硬件方向集体调整，前期涨幅较大的光通信板块资金快速兑现，华盛昌跌停，赛微电子、腾景科技、德科立、联特科技等跌超10%，全市场逾4300只个股收跌，科技成长方向整体面临获利兑现压力。截至收盘，PCB板块小幅回调、消费电子板块走弱、半导体设计板块走弱、半导体设备材料板块走弱，各方向均有所承压。今日行情体现出经历连续大涨后市场内部的阶段性分歧：CPO、算力光通信等前期涨幅较大方向率先面临节奏调整，资金向白酒、煤炭等低估值板块轮动，呈现结构性切换迹象；半导体材料方向受日本供应链扰动消息催化，早盘表现相对突出，显示国产替代逻辑持续获得市场关注；从中期视角看，北方华创2025年营收保持逾30%高增长、铂科新材芯片电感业务快速放量等基本面数据持续验证产业景气，今日震荡调整属于行情演进中的正常节奏整理，半导体产业中期向好的基础并未动摇。</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各细分方向经历短期调整，建议结合自身风险偏好保持关注核心主线运行状态；半导体材料方向受日本光刻胶供应链中断消息催化，国产替代逻辑持续强化，可审慎评估相关动态进展；CPO光通信等算力硬件方向近期涨幅较大，留意节奏调整期间的资金轮动信号；存储涨价与国产设备扩产逻辑仍是板块中期重要关注维度，可跟踪供应链涨价及产能动向；整体仓位管理宜结合个人风险承受能力，关注市场情绪变化与结构性分化机会，避免集中押注单一方向。</w:t>
      </w:r>
    </w:p>
    <w:p/>
    <w:sectPr w:rsidR="00576E01" w:rsidRPr="0015630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9F85" w14:textId="77777777" w:rsidR="00C74D7A" w:rsidRDefault="00C74D7A" w:rsidP="00085164">
      <w:r>
        <w:separator/>
      </w:r>
    </w:p>
  </w:endnote>
  <w:endnote w:type="continuationSeparator" w:id="0">
    <w:p w14:paraId="67956307" w14:textId="77777777" w:rsidR="00C74D7A" w:rsidRDefault="00C74D7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F988"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C2CD"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378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0C10" w14:textId="77777777" w:rsidR="00C74D7A" w:rsidRDefault="00C74D7A" w:rsidP="00085164">
      <w:r>
        <w:separator/>
      </w:r>
    </w:p>
  </w:footnote>
  <w:footnote w:type="continuationSeparator" w:id="0">
    <w:p w14:paraId="40F70B9D" w14:textId="77777777" w:rsidR="00C74D7A" w:rsidRDefault="00C74D7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25AD"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D9CE"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418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3D9B"/>
    <w:rsid w:val="002943FA"/>
    <w:rsid w:val="0029500B"/>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5BDB"/>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13631</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318</cp:revision>
  <dcterms:created xsi:type="dcterms:W3CDTF">2025-07-14T07:12:00Z</dcterms:created>
  <dcterms:modified xsi:type="dcterms:W3CDTF">2026-04-09T07:32:00Z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