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电子半导体行情点评（4月24日）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A股三大股指全线收跌，半导体方向逆势走强。</w:t>
      </w:r>
      <w:r>
        <w:rPr>
          <w:rFonts w:ascii="楷体" w:eastAsia="楷体" w:hAnsi="楷体" w:cs="楷体"/>
        </w:rPr>
        <w:t xml:space="preserve">沪指收盘下跌13.35点，跌幅：0.33%，报4079.90点；深指收盘下跌103.15点，跌幅：0.69%，报14940.30点；创业板指数收盘下跌52.46点，跌幅：1.41%，报3667.79点；国证芯片（980017）指数收盘上涨239.66点，涨幅：1.74%，报14049.26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半导体板块逆势走强。</w:t>
      </w:r>
      <w:r>
        <w:rPr>
          <w:rFonts w:ascii="楷体" w:eastAsia="楷体" w:hAnsi="楷体" w:cs="楷体"/>
        </w:rPr>
        <w:t xml:space="preserve">盘初芯片设计与制造方向率先发力，受DeepSeek正式发布V4-Pro与V4-Flash版本及德州仪器二季度业绩指引超预期等多重利好催化，富瀚微20CM涨停，华虹公司涨超14%，海光信息、杰华特涨超10%，综艺股份斩获2连板，香农芯创盘中涨超6%并披露一季度净利同比增逾7800%。午后国产算力芯片接力上攻，寒武纪、中芯国际涨超6%，龙芯中科、通富微电、摩尔线程跟涨，新股联讯仪器上市首日开盘上涨800%、盘中最高涨幅达950.17%，刷新A股上市首日最贵开盘价，进一步点燃市场对高端半导体测试设备国产化的关注；与此同时CPO算力光通信方向延续调整，新易盛大跌超12%，兆驰股份跌停，资金呈现明显的主线切换特征。截至收盘，PCB板块震荡整理、消费电子板块小幅回调、半导体设计板块领涨、半导体设备材料板块小幅上涨。今日行情体现出鲜明的板块内部接力轮动特征：资金从前期高位的CPO算力光通信方向有序流向芯片设计与制造环节，DeepSeek-V4开源叠加德州仪器、英特尔等海外巨头超预期业绩共同验证AI算力底层硬件需求的持续景气，国产替代与AI算力两条逻辑形成共振；从产业基本面看，晶圆代工价格上行已外溢至IC设计端，奕力、矽创等厂商启动15%至20%的价格调整，半导体涨价潮由供给侧向需求侧扩散，进一步夯实板块中期景气基础；当日大盘整体回调而国证芯片指数逆势收涨1.74%，体现出资金对半导体产业景气的高度认可与主动配置意愿，主线轮动属于板块内部健康的结构性切换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当前半导体板块逆势走强，市场关注度持续提升，建议结合自身风险偏好保持关注核心主线运行节奏；芯片设计与国产算力芯片方向受DeepSeek-V4开源及国产替代逻辑驱动表现突出，可审慎评估相关动态进展；半导体涨价潮由晶圆代工外溢至IC设计端，可跟踪产业链涨价持续性与传导节奏；CPO光通信等算力硬件方向持续调整，留意板块内部资金轮动信号；新股联讯仪器上市彰显高端测试设备国产化关注度，可关注相关产业链动向；整体仓位管理宜结合个人风险承受能力，关注市场结构性分化机会，避免集中押注单一方向。</w:t>
      </w:r>
    </w:p>
    <w:p/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