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电子半导体行情点评（4月29日）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A股三大股指集体收涨。</w:t>
      </w:r>
      <w:r>
        <w:rPr>
          <w:rFonts w:ascii="楷体" w:eastAsia="楷体" w:hAnsi="楷体" w:cs="楷体"/>
        </w:rPr>
        <w:t xml:space="preserve">沪指收盘上涨28.88点，涨幅：0.71%，报4107.51点；深指收盘上涨290.47点，涨幅：1.96%，报15120.92点；创业板指数收盘上涨90.46点，涨幅：2.51%，报3687.17点；国证芯片（980017）指数收盘下跌94.66点，跌幅：0.65%，报14471.92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半导体板块震荡分化。</w:t>
      </w:r>
      <w:r>
        <w:rPr>
          <w:rFonts w:ascii="楷体" w:eastAsia="楷体" w:hAnsi="楷体" w:cs="楷体"/>
        </w:rPr>
        <w:t xml:space="preserve">盘初大盘低开高走、沪指重回4100点上方，但半导体细分方向走势相对独立，半导体材料股率先承压，靶材、工业气体、光刻胶方向领跌，欧莱新材、华特气体、安集科技集体下挫，安集科技盘中跌幅一度超7%，江丰电子、金海通跟跌超5%；与此同时CPO与PCB方向延续强势，源杰科技股价续创历史新高，剑桥科技、瑞斯康达双双涨停，华灿光电涨超8%，PCB产业链中山东玻纤3天2板，宏和科技涨停续创历史新高；中晶科技逆势涨超5%，中船特气、上海新阳涨幅居前。午后大盘指数继续走强带动板块情绪修复，半导体设备ETF盘中跌幅有所收窄，板块内部呈现PCB与CPO相对强势、半导体设备材料方向阶段性休整的轮动特征。截至收盘，PCB板块上涨、消费电子板块小幅上涨、半导体设计板块基本持平、半导体设备材料板块震荡整理。今日行情体现出半导体板块在前期连续上行后的内部结构再平衡：资金从涨幅居前的设备材料方向有序流向相对滞涨的CPO与PCB细分领域，源杰科技、宏和科技等龙头股续创历史新高印证AI算力光通信与高阶PCB主线逻辑仍获市场积极配置；从资金行为看，板块内部呈现典型的轮动接力特征而非主线整体松动，叠加锂电、稀土等周期方向同步活跃形成大盘普涨格局，半导体作为科技主线的核心配置地位仍较稳固；当日港股华虹半导体下跌6%与海外AI资本开支节奏预期构成情绪面短期变量，但中微公司科创板首单“简易审核程序”重组受理、富乐德一季度扣非净利润同比大幅增长256%等产业进展进一步夯实国产设备与材料环节景气基础，板块中期产业逻辑仍受AI算力需求扩张与国产替代深化两条主线支撑，可关注后续节奏演进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当前半导体板块呈现内部结构分化、轮动接力的格局，市场关注度保持较高水平，建议结合自身风险偏好保持关注核心主线运行节奏；CPO与高阶PCB方向受AI算力光通信需求与产业链涨价传导支撑表现相对强势，可审慎评估相关供应链景气延续性；半导体设备与材料方向出现阶段性休整，留意板块内部资金轮动节奏与中期国产替代逻辑兑现进展；存储与设计方向保持基本平稳，可跟踪海外巨头资本开支节奏与一季报业绩兑现度；中微公司科创板首单“简易审核程序”重组受理为板块并购整合提供新参考路径，可关注产业链横纵向整合机会；整体仓位管理宜结合个人风险承受能力，关注市场结构性分化机会，避免集中押注单一方向。</w:t>
      </w:r>
    </w:p>
    <w:p/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9F85" w14:textId="77777777" w:rsidR="00C74D7A" w:rsidRDefault="00C74D7A" w:rsidP="00085164">
      <w:r>
        <w:separator/>
      </w:r>
    </w:p>
  </w:endnote>
  <w:endnote w:type="continuationSeparator" w:id="0">
    <w:p w14:paraId="67956307" w14:textId="77777777" w:rsidR="00C74D7A" w:rsidRDefault="00C74D7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0C10" w14:textId="77777777" w:rsidR="00C74D7A" w:rsidRDefault="00C74D7A" w:rsidP="00085164">
      <w:r>
        <w:separator/>
      </w:r>
    </w:p>
  </w:footnote>
  <w:footnote w:type="continuationSeparator" w:id="0">
    <w:p w14:paraId="40F70B9D" w14:textId="77777777" w:rsidR="00C74D7A" w:rsidRDefault="00C74D7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318</cp:revision>
  <dcterms:created xsi:type="dcterms:W3CDTF">2025-07-14T07:12:00Z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