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电子半导体行情点评（4月30日）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A股三大股指涨跌不一。</w:t>
      </w:r>
      <w:r>
        <w:rPr>
          <w:rFonts w:ascii="楷体" w:eastAsia="楷体" w:hAnsi="楷体" w:cs="楷体"/>
        </w:rPr>
        <w:t xml:space="preserve">沪指收盘上涨4.64点，涨幅：0.11%，报4112.16点；深指收盘下跌13.37点，跌幅：0.09%，报15107.55点；创业板指数收盘下跌10.02点，跌幅：0.27%，报3677.15点；国证芯片（980017）指数收盘上涨774.26点，涨幅：5.35%，报15254.34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半导体板块全线大涨。</w:t>
      </w:r>
      <w:r>
        <w:rPr>
          <w:rFonts w:ascii="楷体" w:eastAsia="楷体" w:hAnsi="楷体" w:cs="楷体"/>
        </w:rPr>
        <w:t xml:space="preserve">盘初算力芯片方向率先爆发，芯原股份以20cm涨停领涨，一季度营收同比增长114.47%、成功扭亏为盈，业绩超预期形成直接催化；寒武纪大涨超17%重夺“股王”宝座，翱捷科技-U、盛科通信-U等多只芯片设计个股同步涨超10%，C联讯盘中涨超8%刷新历史高位、上市仅5个交易日即成A股史上涨幅最快“千元股”，龙芯中科、海光信息、灿芯股份等国产算力方向集体跟涨。午后兆易创新一季度净利润同比增长523%等多份超预期季报持续发酵，做多情绪进一步提振，寒武纪最终以20cm涨停收盘并创历史新高，总市值突破7000亿元，科创50指数全日涨超5.19%，全市场成交放量至2.76万亿元。截至收盘，PCB板块震荡整理、消费电子板块小幅上涨、半导体设计板块大涨、半导体设备材料板块大涨。今日行情以一季报业绩密集超预期为核心驱动：寒武纪净利润同比+185%、芯原股份大幅扭亏、兆易创新净利润同比+523%的连续业绩验证，推动算力芯片方向从估值扩张阶段进入业绩支撑阶段，资金由事件驱动切换为主动配置，主线持续性预期得到进一步强化；从资金行为看，做多力量高度集中于算力芯片设计方向，科创50放量涨超5%而深成指和创业板小幅走弱，呈现存量资金向科创板优质算力资产有序聚拢的典型特征；叠加花旗、摩根士丹利同一周共同上调国产AI算力链多条主线目标价，外资对国产算力主线认同度显著提升，板块中期国产替代深化与AI算力需求双主线逻辑获多维度印证，可持续关注后续季报兑现节奏与资金轮动方向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以算力芯片方向为核心主线，一季报业绩超预期密集兑现推动市场关注度快速提升，建议结合自身风险偏好持续关注算力芯片方向的业绩延续性；半导体设计与设备材料方向共同大涨，可审慎评估国产替代深化逻辑下产业链景气延续性；消费电子方向整体稳健，可跟踪AI终端需求复苏节奏与后续季报落地情况；PCB方向暂处震荡整理阶段，可留意高阶算力PCB供应链的订单与涨价传导进展；整体而言，季报密集披露期建议结合业绩兑现度审慎评估各方向配置价值，关注市场结构性机会，结合个人风险承受能力把握参与节奏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