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0C3F0B4C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074CA0">
        <w:rPr>
          <w:rFonts w:ascii="楷体" w:eastAsia="楷体" w:hAnsi="楷体" w:cs="楷体" w:hint="eastAsia"/>
          <w:b/>
          <w:bCs/>
          <w:sz w:val="28"/>
          <w:szCs w:val="36"/>
        </w:rPr>
        <w:t>7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075B0100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074CA0">
        <w:rPr>
          <w:rFonts w:ascii="楷体" w:eastAsia="楷体" w:hAnsi="楷体" w:cs="楷体" w:hint="eastAsia"/>
          <w:b/>
          <w:bCs/>
        </w:rPr>
        <w:t>冲高回落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074CA0" w:rsidRPr="00074CA0">
        <w:rPr>
          <w:rFonts w:ascii="楷体" w:eastAsia="楷体" w:hAnsi="楷体" w:cs="楷体" w:hint="eastAsia"/>
        </w:rPr>
        <w:t>收盘上涨10.07点，涨幅：0.26%，报3890.16点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074CA0" w:rsidRPr="00074CA0">
        <w:rPr>
          <w:rFonts w:ascii="楷体" w:eastAsia="楷体" w:hAnsi="楷体" w:cs="楷体" w:hint="eastAsia"/>
        </w:rPr>
        <w:t>收盘上涨47.51点，涨幅：0.36%，报13400.41点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074CA0" w:rsidRPr="00074CA0">
        <w:rPr>
          <w:rFonts w:ascii="楷体" w:eastAsia="楷体" w:hAnsi="楷体" w:cs="楷体" w:hint="eastAsia"/>
        </w:rPr>
        <w:t>收盘上涨11.22点，涨幅：0.36%，报3160.82点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074CA0">
        <w:rPr>
          <w:rFonts w:ascii="楷体" w:eastAsia="楷体" w:hAnsi="楷体" w:cs="楷体" w:hint="eastAsia"/>
        </w:rPr>
        <w:t>上涨187.41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074CA0">
        <w:rPr>
          <w:rFonts w:ascii="楷体" w:eastAsia="楷体" w:hAnsi="楷体" w:cs="楷体" w:hint="eastAsia"/>
        </w:rPr>
        <w:t>涨幅1.58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074CA0">
        <w:rPr>
          <w:rFonts w:ascii="楷体" w:eastAsia="楷体" w:hAnsi="楷体" w:cs="楷体" w:hint="eastAsia"/>
        </w:rPr>
        <w:t>12070.56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15A49938" w14:textId="34F9CFC5" w:rsidR="00074CA0" w:rsidRPr="00074CA0" w:rsidRDefault="00F66560" w:rsidP="00074CA0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86657B">
        <w:rPr>
          <w:rFonts w:ascii="楷体" w:eastAsia="楷体" w:hAnsi="楷体" w:cs="楷体" w:hint="eastAsia"/>
          <w:b/>
          <w:bCs/>
        </w:rPr>
        <w:t>震荡</w:t>
      </w:r>
      <w:r w:rsidR="00074CA0">
        <w:rPr>
          <w:rFonts w:ascii="楷体" w:eastAsia="楷体" w:hAnsi="楷体" w:cs="楷体" w:hint="eastAsia"/>
          <w:b/>
          <w:bCs/>
        </w:rPr>
        <w:t>上涨</w:t>
      </w:r>
      <w:r>
        <w:rPr>
          <w:rFonts w:ascii="楷体" w:eastAsia="楷体" w:hAnsi="楷体" w:cs="楷体" w:hint="eastAsia"/>
          <w:b/>
          <w:bCs/>
        </w:rPr>
        <w:t>。</w:t>
      </w:r>
      <w:r w:rsidR="00324CB7">
        <w:rPr>
          <w:rFonts w:ascii="楷体" w:eastAsia="楷体" w:hAnsi="楷体" w:cs="楷体" w:hint="eastAsia"/>
        </w:rPr>
        <w:t>盘初，</w:t>
      </w:r>
      <w:r w:rsidR="00074CA0" w:rsidRPr="00074CA0">
        <w:rPr>
          <w:rFonts w:ascii="楷体" w:eastAsia="楷体" w:hAnsi="楷体" w:cs="楷体" w:hint="eastAsia"/>
        </w:rPr>
        <w:t>电子化学品板块直线拉升，同宇</w:t>
      </w:r>
      <w:proofErr w:type="gramStart"/>
      <w:r w:rsidR="00074CA0" w:rsidRPr="00074CA0">
        <w:rPr>
          <w:rFonts w:ascii="楷体" w:eastAsia="楷体" w:hAnsi="楷体" w:cs="楷体" w:hint="eastAsia"/>
        </w:rPr>
        <w:t>新材涨超</w:t>
      </w:r>
      <w:proofErr w:type="gramEnd"/>
      <w:r w:rsidR="00074CA0" w:rsidRPr="00074CA0">
        <w:rPr>
          <w:rFonts w:ascii="楷体" w:eastAsia="楷体" w:hAnsi="楷体" w:cs="楷体" w:hint="eastAsia"/>
        </w:rPr>
        <w:t>10%，广钢气体、菲沃泰、方邦股份、瑞联新材、万润股份等跟涨</w:t>
      </w:r>
      <w:r w:rsidR="0086657B" w:rsidRPr="0086657B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324CB7" w:rsidRPr="00324CB7">
        <w:rPr>
          <w:rFonts w:ascii="楷体" w:eastAsia="楷体" w:hAnsi="楷体" w:cs="楷体" w:hint="eastAsia"/>
        </w:rPr>
        <w:t>半导体设计、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FB462B">
        <w:rPr>
          <w:rFonts w:ascii="楷体" w:eastAsia="楷体" w:hAnsi="楷体" w:cs="楷体" w:hint="eastAsia"/>
        </w:rPr>
        <w:t>板块</w:t>
      </w:r>
      <w:r w:rsidR="00B17DC4">
        <w:rPr>
          <w:rFonts w:ascii="楷体" w:eastAsia="楷体" w:hAnsi="楷体" w:cs="楷体" w:hint="eastAsia"/>
        </w:rPr>
        <w:t>分化</w:t>
      </w:r>
      <w:r w:rsidR="00074CA0">
        <w:rPr>
          <w:rFonts w:ascii="楷体" w:eastAsia="楷体" w:hAnsi="楷体" w:cs="楷体" w:hint="eastAsia"/>
        </w:rPr>
        <w:t>上涨，半</w:t>
      </w:r>
      <w:r w:rsidR="00074CA0" w:rsidRPr="00074CA0">
        <w:rPr>
          <w:rFonts w:ascii="楷体" w:eastAsia="楷体" w:hAnsi="楷体" w:cs="楷体" w:hint="eastAsia"/>
        </w:rPr>
        <w:t>导体设备材料板块</w:t>
      </w:r>
      <w:r w:rsidR="00074CA0">
        <w:rPr>
          <w:rFonts w:ascii="楷体" w:eastAsia="楷体" w:hAnsi="楷体" w:cs="楷体" w:hint="eastAsia"/>
        </w:rPr>
        <w:t>微涨</w:t>
      </w:r>
      <w:r w:rsidR="00FB462B">
        <w:rPr>
          <w:rFonts w:ascii="楷体" w:eastAsia="楷体" w:hAnsi="楷体" w:cs="楷体" w:hint="eastAsia"/>
        </w:rPr>
        <w:t>。</w:t>
      </w:r>
      <w:r w:rsidR="00074CA0" w:rsidRPr="00074CA0">
        <w:rPr>
          <w:rFonts w:ascii="楷体" w:eastAsia="楷体" w:hAnsi="楷体" w:cs="楷体" w:hint="eastAsia"/>
        </w:rPr>
        <w:t>电子半导体板块当日表现相对强势，资金在震荡市中仍优先选择具备产业景气支撑的方向进行配置。当前电子半导体行情已经进入一个较为典型的“高景气+高波动”阶段。中期逻辑非常清晰，即AI驱动需求爆发、供给受限带来价格上行、国产替代加速推进，但短期由于资金结构不稳定，行情呈现出明显的震荡特征，板块</w:t>
      </w:r>
      <w:proofErr w:type="gramStart"/>
      <w:r w:rsidR="00074CA0" w:rsidRPr="00074CA0">
        <w:rPr>
          <w:rFonts w:ascii="楷体" w:eastAsia="楷体" w:hAnsi="楷体" w:cs="楷体" w:hint="eastAsia"/>
        </w:rPr>
        <w:t>内部轮</w:t>
      </w:r>
      <w:proofErr w:type="gramEnd"/>
      <w:r w:rsidR="00074CA0" w:rsidRPr="00074CA0">
        <w:rPr>
          <w:rFonts w:ascii="楷体" w:eastAsia="楷体" w:hAnsi="楷体" w:cs="楷体" w:hint="eastAsia"/>
        </w:rPr>
        <w:t>动加快，从存储、CPO逐步</w:t>
      </w:r>
      <w:proofErr w:type="gramStart"/>
      <w:r w:rsidR="00074CA0" w:rsidRPr="00074CA0">
        <w:rPr>
          <w:rFonts w:ascii="楷体" w:eastAsia="楷体" w:hAnsi="楷体" w:cs="楷体" w:hint="eastAsia"/>
        </w:rPr>
        <w:t>向设备</w:t>
      </w:r>
      <w:proofErr w:type="gramEnd"/>
      <w:r w:rsidR="00074CA0" w:rsidRPr="00074CA0">
        <w:rPr>
          <w:rFonts w:ascii="楷体" w:eastAsia="楷体" w:hAnsi="楷体" w:cs="楷体" w:hint="eastAsia"/>
        </w:rPr>
        <w:t>材料、电子化学品等方向扩散。</w:t>
      </w:r>
    </w:p>
    <w:p w14:paraId="2A2C8944" w14:textId="5C7E7BA1" w:rsidR="00074CA0" w:rsidRPr="00741D1E" w:rsidRDefault="00074CA0" w:rsidP="00074CA0">
      <w:pPr>
        <w:ind w:firstLineChars="200" w:firstLine="422"/>
        <w:rPr>
          <w:rFonts w:ascii="楷体" w:eastAsia="楷体" w:hAnsi="楷体" w:cs="楷体"/>
        </w:rPr>
      </w:pPr>
      <w:r w:rsidRPr="00074CA0">
        <w:rPr>
          <w:rFonts w:ascii="楷体" w:eastAsia="楷体" w:hAnsi="楷体" w:cs="楷体" w:hint="eastAsia"/>
          <w:b/>
          <w:bCs/>
        </w:rPr>
        <w:t>建议策略：</w:t>
      </w:r>
      <w:r w:rsidRPr="00074CA0">
        <w:rPr>
          <w:rFonts w:ascii="楷体" w:eastAsia="楷体" w:hAnsi="楷体" w:cs="楷体" w:hint="eastAsia"/>
        </w:rPr>
        <w:t>应将当前市场理解为“结构性行情深化期”，而</w:t>
      </w:r>
      <w:proofErr w:type="gramStart"/>
      <w:r w:rsidRPr="00074CA0">
        <w:rPr>
          <w:rFonts w:ascii="楷体" w:eastAsia="楷体" w:hAnsi="楷体" w:cs="楷体" w:hint="eastAsia"/>
        </w:rPr>
        <w:t>非趋势</w:t>
      </w:r>
      <w:proofErr w:type="gramEnd"/>
      <w:r w:rsidRPr="00074CA0">
        <w:rPr>
          <w:rFonts w:ascii="楷体" w:eastAsia="楷体" w:hAnsi="楷体" w:cs="楷体" w:hint="eastAsia"/>
        </w:rPr>
        <w:t>行情启动期。存储板块仍是最强主线，具备业绩与价格双重支撑，但短期波动加剧，需要通过回调逐步布局；电子化学品与半导体材料方向正在成为新的资金承接点，具备“低位+国产替代+确定性”优势，值得重点关注；</w:t>
      </w:r>
      <w:proofErr w:type="gramStart"/>
      <w:r w:rsidRPr="00074CA0">
        <w:rPr>
          <w:rFonts w:ascii="楷体" w:eastAsia="楷体" w:hAnsi="楷体" w:cs="楷体" w:hint="eastAsia"/>
        </w:rPr>
        <w:t>算力链</w:t>
      </w:r>
      <w:proofErr w:type="gramEnd"/>
      <w:r w:rsidRPr="00074CA0">
        <w:rPr>
          <w:rFonts w:ascii="楷体" w:eastAsia="楷体" w:hAnsi="楷体" w:cs="楷体" w:hint="eastAsia"/>
        </w:rPr>
        <w:t>（CPO、PCB）进入震荡阶段，需等待新催化；芯片设计与消费电子则仍需等待需求侧验证。在指数未形成趋势、资金博弈加剧的环境下，通过控制</w:t>
      </w:r>
      <w:proofErr w:type="gramStart"/>
      <w:r w:rsidRPr="00074CA0">
        <w:rPr>
          <w:rFonts w:ascii="楷体" w:eastAsia="楷体" w:hAnsi="楷体" w:cs="楷体" w:hint="eastAsia"/>
        </w:rPr>
        <w:t>仓位</w:t>
      </w:r>
      <w:proofErr w:type="gramEnd"/>
      <w:r w:rsidRPr="00074CA0">
        <w:rPr>
          <w:rFonts w:ascii="楷体" w:eastAsia="楷体" w:hAnsi="楷体" w:cs="楷体" w:hint="eastAsia"/>
        </w:rPr>
        <w:t>、围绕主线</w:t>
      </w:r>
      <w:proofErr w:type="gramStart"/>
      <w:r w:rsidRPr="00074CA0">
        <w:rPr>
          <w:rFonts w:ascii="楷体" w:eastAsia="楷体" w:hAnsi="楷体" w:cs="楷体" w:hint="eastAsia"/>
        </w:rPr>
        <w:t>内部轮</w:t>
      </w:r>
      <w:proofErr w:type="gramEnd"/>
      <w:r w:rsidRPr="00074CA0">
        <w:rPr>
          <w:rFonts w:ascii="楷体" w:eastAsia="楷体" w:hAnsi="楷体" w:cs="楷体" w:hint="eastAsia"/>
        </w:rPr>
        <w:t>动，将比单一方向重仓更具性价比。</w:t>
      </w:r>
    </w:p>
    <w:p w14:paraId="70E8BD49" w14:textId="589919EA" w:rsidR="00576E01" w:rsidRPr="00074CA0" w:rsidRDefault="00576E01" w:rsidP="00074CA0">
      <w:pPr>
        <w:ind w:firstLineChars="200" w:firstLine="420"/>
        <w:rPr>
          <w:rFonts w:ascii="楷体" w:eastAsia="楷体" w:hAnsi="楷体" w:cs="楷体" w:hint="eastAsia"/>
        </w:rPr>
      </w:pPr>
    </w:p>
    <w:sectPr w:rsidR="00576E01" w:rsidRPr="00074C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168E2" w14:textId="77777777" w:rsidR="00BA1B75" w:rsidRDefault="00BA1B75" w:rsidP="00085164">
      <w:r>
        <w:separator/>
      </w:r>
    </w:p>
  </w:endnote>
  <w:endnote w:type="continuationSeparator" w:id="0">
    <w:p w14:paraId="75EBC168" w14:textId="77777777" w:rsidR="00BA1B75" w:rsidRDefault="00BA1B75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DEFD" w14:textId="77777777" w:rsidR="00BA1B75" w:rsidRDefault="00BA1B75" w:rsidP="00085164">
      <w:r>
        <w:separator/>
      </w:r>
    </w:p>
  </w:footnote>
  <w:footnote w:type="continuationSeparator" w:id="0">
    <w:p w14:paraId="5A4E5193" w14:textId="77777777" w:rsidR="00BA1B75" w:rsidRDefault="00BA1B75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314</cp:revision>
  <dcterms:created xsi:type="dcterms:W3CDTF">2025-07-14T07:12:00Z</dcterms:created>
  <dcterms:modified xsi:type="dcterms:W3CDTF">2026-04-07T07:25:00Z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