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电子半导体行情点评（5月11日）</w:t>
      </w:r>
    </w:p>
    <w:p>
      <w:pPr>
        <w:ind w:firstLineChars="200" w:firstLine="422"/>
        <w:rPr>
          <w:rFonts w:ascii="楷体" w:eastAsia="楷体" w:hAnsi="楷体" w:cs="楷体"/>
        </w:rPr>
      </w:pPr>
      <w:r>
        <w:rPr>
          <w:rFonts w:ascii="楷体" w:eastAsia="楷体" w:hAnsi="楷体" w:cs="楷体"/>
          <w:b/>
          <w:bCs/>
        </w:rPr>
        <w:t xml:space="preserve">A股三大股指全线走强。</w:t>
      </w:r>
      <w:r>
        <w:rPr>
          <w:rFonts w:ascii="楷体" w:eastAsia="楷体" w:hAnsi="楷体" w:cs="楷体"/>
        </w:rPr>
        <w:t xml:space="preserve">沪指收盘上涨45.07点，涨幅：1.08%，报4225.02点；深指收盘上涨335.50点，涨幅：2.16%，报15899.30点；创业板指数收盘上涨132.85点，涨幅：3.50%，报3928.97点；国证芯片（980017）指数收盘上涨1004.82点，涨幅：6.29%，报16976.37点。</w:t>
      </w:r>
    </w:p>
    <w:p>
      <w:pPr>
        <w:ind w:firstLineChars="200" w:firstLine="422"/>
        <w:rPr>
          <w:rFonts w:ascii="楷体" w:eastAsia="楷体" w:hAnsi="楷体" w:cs="楷体"/>
        </w:rPr>
      </w:pPr>
      <w:r>
        <w:rPr>
          <w:rFonts w:ascii="楷体" w:eastAsia="楷体" w:hAnsi="楷体" w:cs="楷体"/>
          <w:b/>
          <w:bCs/>
        </w:rPr>
        <w:t xml:space="preserve">半导体板块全线爆发。</w:t>
      </w:r>
      <w:r>
        <w:rPr>
          <w:rFonts w:ascii="楷体" w:eastAsia="楷体" w:hAnsi="楷体" w:cs="楷体"/>
        </w:rPr>
        <w:t xml:space="preserve">早盘存储芯片方向率先放量上攻，澜起科技、长川科技、兴福电子、普冉股份20cm涨停，兆易创新、长电科技10cm涨停，同有科技20cm涨停、江波龙涨超12%、佰维存储涨超5%；港股市场同步联动，华虹半导体涨超8%、澜起科技涨超15%、纳芯微涨超9%，形成A股港股双向共振。午后行情由AI算力、存储等领域向半导体设备材料、功率器件等方向扩散，深科达、博杰股份、红板科技涨停，矽电股份等多股涨超10%，中证半导体材料设备主题指数半日大涨超8%，科创50指数全天大涨创历史新高，全市场超3000股飘红、超百股涨停。截至收盘，PCB板块跟随上涨、消费电子板块大涨、半导体设计板块大涨、半导体设备材料板块大涨。今日行情核心驱动是板块景气度由单一AI算力主线向全产业链共振扩散——存储芯片在供需偏紧格局下涨价兑现持续，设备材料受益于国产替代深化与设备订单加速释放，设计与封测环节同步放量，反映板块内部结构性机会进一步丰富；从资金行为看，存储引领下设备材料与设计同步放量、主动配置特征明确，板块由前期高拥挤的单一主线集中式行情演进为多点并进的扩散格局，资金主动配置在主线内部进行积极轮动；当日走势在中长期产业逻辑下属于主线行情的强势再确认，存储涨价周期、国产替代深化与AI需求扩张三重逻辑形成共振，可关注后续业绩兑现节奏与高端产能释放进展。</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当前半导体板块全产业链共振上涨，存储与设备材料方向同步走强，建议结合自身风险偏好持续关注主线运行节奏；存储芯片方向涨价周期持续兑现，可审慎评估供需偏紧格局下的业绩传导持续性；半导体设备材料方向受益于国产替代深化，可留意头部设备公司订单兑现节奏与新品验证进展；半导体设计方向受AI算力与存储控制器需求拉动，可跟踪一季报业绩兑现度与新一代产品周期催化；消费电子方向稳健上涨，可关注AI终端创新与需求复苏节奏；PCB方向跟随板块同步活跃，可留意高阶算力PCB供应链订单兑现进度；整体仓位管理宜结合个人风险承受能力，关注市场结构性机会，避免单一方向过度集中。</w:t>
      </w:r>
    </w:p>
    <w:p/>
    <w:sectPr w:rsidR="00576E01" w:rsidRPr="0015630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59F85" w14:textId="77777777" w:rsidR="00C74D7A" w:rsidRDefault="00C74D7A" w:rsidP="00085164">
      <w:r>
        <w:separator/>
      </w:r>
    </w:p>
  </w:endnote>
  <w:endnote w:type="continuationSeparator" w:id="0">
    <w:p w14:paraId="67956307" w14:textId="77777777" w:rsidR="00C74D7A" w:rsidRDefault="00C74D7A"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altName w:val="Arial Unicode MS"/>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F988"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C2CD"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378E"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D0C10" w14:textId="77777777" w:rsidR="00C74D7A" w:rsidRDefault="00C74D7A" w:rsidP="00085164">
      <w:r>
        <w:separator/>
      </w:r>
    </w:p>
  </w:footnote>
  <w:footnote w:type="continuationSeparator" w:id="0">
    <w:p w14:paraId="40F70B9D" w14:textId="77777777" w:rsidR="00C74D7A" w:rsidRDefault="00C74D7A"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25AD"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D9CE"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418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4CD6"/>
    <w:rsid w:val="000355E2"/>
    <w:rsid w:val="00037C6D"/>
    <w:rsid w:val="00040C17"/>
    <w:rsid w:val="000419AE"/>
    <w:rsid w:val="00041EF8"/>
    <w:rsid w:val="000424B4"/>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3D9B"/>
    <w:rsid w:val="002943FA"/>
    <w:rsid w:val="0029500B"/>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17E2"/>
    <w:rsid w:val="00456389"/>
    <w:rsid w:val="00456CCF"/>
    <w:rsid w:val="0046313F"/>
    <w:rsid w:val="0046326C"/>
    <w:rsid w:val="0046538E"/>
    <w:rsid w:val="00470924"/>
    <w:rsid w:val="0047122B"/>
    <w:rsid w:val="0047140C"/>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955BDB"/>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13631</TotalTime>
  <Pages>1</Pages>
  <Words>87</Words>
  <Characters>500</Characters>
  <Application>Microsoft Office Word</Application>
  <DocSecurity>0</DocSecurity>
  <Lines>4</Lines>
  <Paragraphs>1</Paragraphs>
  <ScaleCrop>false</ScaleCrop>
  <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318</cp:revision>
  <dcterms:created xsi:type="dcterms:W3CDTF">2025-07-14T07:12:00Z</dcterms:created>
  <dcterms:modified xsi:type="dcterms:W3CDTF">2026-04-09T07:32:00Z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