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857F" w14:textId="77777777" w:rsidR="00450B93" w:rsidRDefault="00000000">
      <w:pPr>
        <w:jc w:val="center"/>
        <w:rPr>
          <w:rFonts w:ascii="楷体" w:eastAsia="楷体" w:hAnsi="楷体" w:cs="楷体"/>
          <w:b/>
          <w:bCs/>
          <w:sz w:val="28"/>
          <w:szCs w:val="36"/>
        </w:rPr>
      </w:pPr>
      <w:r>
        <w:rPr>
          <w:rFonts w:ascii="楷体" w:eastAsia="楷体" w:hAnsi="楷体" w:cs="楷体"/>
          <w:b/>
          <w:bCs/>
          <w:sz w:val="28"/>
          <w:szCs w:val="36"/>
        </w:rPr>
        <w:t>电子半导体行情点评（5月12日）</w:t>
      </w:r>
    </w:p>
    <w:p w14:paraId="1A353B85" w14:textId="77777777" w:rsidR="00450B93" w:rsidRDefault="00000000">
      <w:pPr>
        <w:ind w:firstLineChars="200" w:firstLine="422"/>
        <w:rPr>
          <w:rFonts w:ascii="楷体" w:eastAsia="楷体" w:hAnsi="楷体" w:cs="楷体"/>
        </w:rPr>
      </w:pPr>
      <w:r>
        <w:rPr>
          <w:rFonts w:ascii="楷体" w:eastAsia="楷体" w:hAnsi="楷体" w:cs="楷体"/>
          <w:b/>
          <w:bCs/>
        </w:rPr>
        <w:t>A股三大股指走势分化。</w:t>
      </w:r>
      <w:r>
        <w:rPr>
          <w:rFonts w:ascii="楷体" w:eastAsia="楷体" w:hAnsi="楷体" w:cs="楷体"/>
        </w:rPr>
        <w:t>沪指收盘下跌10.53点，跌幅：0.25%，报4214.49点；深指收盘下跌74.38点，跌幅：0.47%，报15824.92点；创业板指数收盘上涨5.91点，涨幅：0.15%，报3934.88点；国证芯片（980017）指数收盘上涨142.29点，涨幅：0.84%，报17123.07点。</w:t>
      </w:r>
    </w:p>
    <w:p w14:paraId="073923C1" w14:textId="47D5B3DD" w:rsidR="00450B93" w:rsidRDefault="00000000">
      <w:pPr>
        <w:ind w:firstLineChars="200" w:firstLine="422"/>
        <w:rPr>
          <w:rFonts w:ascii="楷体" w:eastAsia="楷体" w:hAnsi="楷体" w:cs="楷体"/>
        </w:rPr>
      </w:pPr>
      <w:r>
        <w:rPr>
          <w:rFonts w:ascii="楷体" w:eastAsia="楷体" w:hAnsi="楷体" w:cs="楷体"/>
          <w:b/>
          <w:bCs/>
        </w:rPr>
        <w:t>半导体板块逆市走强。</w:t>
      </w:r>
      <w:r>
        <w:rPr>
          <w:rFonts w:ascii="楷体" w:eastAsia="楷体" w:hAnsi="楷体" w:cs="楷体"/>
        </w:rPr>
        <w:t>盘初港股芯片股率先承压，华虹半导体跌近4%、澜起科技跌超3%、兆易创新与壁仞科技跌超2%，A股市场跟随震荡走弱，沪深两市半日成交额2.17万亿元、较上日缩量超千亿，全市场近4300只个股下跌。午后半导体板块持续拉升二度走强，芯源微、沪硅产业、华海清科盘中涨超10%，中晶科技、龙芯中科、东微半导、海光信息、甬矽电子等跟涨，寒武纪盘中涨超7%、芯原股份涨近5%，半导体设备方向最为活跃，板块指数盘中涨幅一度达5%、创出历史新高，当日主力资金净买入近70亿元。截至收盘，PCB板块震荡、消费电子板块小幅回调、半导体设计板块小幅上涨、半导体设备材料板块大涨。今日行情核心驱动来自美股芯片股延续强势，外部映射叠加国内AI</w:t>
      </w:r>
      <w:proofErr w:type="gramStart"/>
      <w:r>
        <w:rPr>
          <w:rFonts w:ascii="楷体" w:eastAsia="楷体" w:hAnsi="楷体" w:cs="楷体"/>
        </w:rPr>
        <w:t>算力需求</w:t>
      </w:r>
      <w:proofErr w:type="gramEnd"/>
      <w:r>
        <w:rPr>
          <w:rFonts w:ascii="楷体" w:eastAsia="楷体" w:hAnsi="楷体" w:cs="楷体"/>
        </w:rPr>
        <w:t>扩张与半导体国产化率持续提升形成共振；从结构上看，大盘整体震荡分化背景下半导体板块逆势活跃、设备材料方向引领，反映资金在国产替代深化</w:t>
      </w:r>
      <w:proofErr w:type="gramStart"/>
      <w:r>
        <w:rPr>
          <w:rFonts w:ascii="楷体" w:eastAsia="楷体" w:hAnsi="楷体" w:cs="楷体"/>
        </w:rPr>
        <w:t>与算力</w:t>
      </w:r>
      <w:proofErr w:type="gramEnd"/>
      <w:r>
        <w:rPr>
          <w:rFonts w:ascii="楷体" w:eastAsia="楷体" w:hAnsi="楷体" w:cs="楷体"/>
        </w:rPr>
        <w:t>周期延续的产业逻辑下进行主动配置，单一主线行情已演进为设备、设计、</w:t>
      </w:r>
      <w:proofErr w:type="gramStart"/>
      <w:r>
        <w:rPr>
          <w:rFonts w:ascii="楷体" w:eastAsia="楷体" w:hAnsi="楷体" w:cs="楷体"/>
        </w:rPr>
        <w:t>算力多</w:t>
      </w:r>
      <w:proofErr w:type="gramEnd"/>
      <w:r>
        <w:rPr>
          <w:rFonts w:ascii="楷体" w:eastAsia="楷体" w:hAnsi="楷体" w:cs="楷体"/>
        </w:rPr>
        <w:t>点共振的扩散格局；当日走势在大盘缩量调整背景下属于产业景气逻辑的再确认，2026年一季度全球半导体销售额同比大幅增长、国内增速同步走高，AI</w:t>
      </w:r>
      <w:proofErr w:type="gramStart"/>
      <w:r>
        <w:rPr>
          <w:rFonts w:ascii="楷体" w:eastAsia="楷体" w:hAnsi="楷体" w:cs="楷体"/>
        </w:rPr>
        <w:t>算力基础</w:t>
      </w:r>
      <w:proofErr w:type="gramEnd"/>
      <w:r>
        <w:rPr>
          <w:rFonts w:ascii="楷体" w:eastAsia="楷体" w:hAnsi="楷体" w:cs="楷体"/>
        </w:rPr>
        <w:t>设施建设超预期为板块持续走强提供中长期基本面支撑，可关注后续设备订单兑现节奏与存储涨价周期持续性。</w:t>
      </w:r>
    </w:p>
    <w:p w14:paraId="361D4CB3" w14:textId="77777777" w:rsidR="00450B93" w:rsidRDefault="00000000">
      <w:pPr>
        <w:ind w:firstLineChars="200" w:firstLine="422"/>
        <w:rPr>
          <w:rFonts w:ascii="楷体" w:eastAsia="楷体" w:hAnsi="楷体" w:cs="楷体"/>
        </w:rPr>
      </w:pPr>
      <w:r>
        <w:rPr>
          <w:rFonts w:ascii="楷体" w:eastAsia="楷体" w:hAnsi="楷体" w:cs="楷体"/>
          <w:b/>
          <w:bCs/>
        </w:rPr>
        <w:t>建议策略：</w:t>
      </w:r>
      <w:r>
        <w:rPr>
          <w:rFonts w:ascii="楷体" w:eastAsia="楷体" w:hAnsi="楷体" w:cs="楷体"/>
        </w:rPr>
        <w:t>当前大盘震荡分化而半导体板块逆市走强，全球与国内半导体景气度持续向上，建议结合自身风险偏好持续关注主线运行节奏；半导体设备材料方向受益于国产替代深化与设备订单加速释放，可审慎评估头部设备公司订单兑现节奏与新品验证进展；半导体设计方向受AI算力需求扩张拉动，可留意算力芯片与存储控制器一季报业绩兑现度及新一代产品周期催化；存储芯片方向涨价周期持续兑现，可跟踪供需偏紧格局下的业绩传导持续性；消费电子方向短线回调，可关注AI终端创新与需求复苏节奏；PCB方向震荡整理，可留意高阶算力PCB供应链订单兑现进度；整体仓位管理宜结合个人风险承受能力，关注市场结构性机会，避免单一方向过度集中。</w:t>
      </w:r>
    </w:p>
    <w:p w14:paraId="1D14419A" w14:textId="77777777" w:rsidR="00450B93" w:rsidRDefault="00450B93"/>
    <w:sectPr w:rsidR="00450B9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1C81" w14:textId="77777777" w:rsidR="00F962FF" w:rsidRDefault="00F962FF" w:rsidP="00085164">
      <w:r>
        <w:separator/>
      </w:r>
    </w:p>
  </w:endnote>
  <w:endnote w:type="continuationSeparator" w:id="0">
    <w:p w14:paraId="45C403CA" w14:textId="77777777" w:rsidR="00F962FF" w:rsidRDefault="00F962FF"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C87C"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9623"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239F"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6D5D" w14:textId="77777777" w:rsidR="00F962FF" w:rsidRDefault="00F962FF" w:rsidP="00085164">
      <w:r>
        <w:separator/>
      </w:r>
    </w:p>
  </w:footnote>
  <w:footnote w:type="continuationSeparator" w:id="0">
    <w:p w14:paraId="23FEAC35" w14:textId="77777777" w:rsidR="00F962FF" w:rsidRDefault="00F962FF"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B41C"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C618"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D140"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AE3B7"/>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13632</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319</cp:revision>
  <dcterms:created xsi:type="dcterms:W3CDTF">2025-07-14T07:12:00Z</dcterms:created>
  <dcterms:modified xsi:type="dcterms:W3CDTF">2026-05-12T07:12:00Z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