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A936" w14:textId="77777777" w:rsidR="00580320" w:rsidRDefault="00000000">
      <w:pPr>
        <w:jc w:val="center"/>
        <w:rPr>
          <w:rFonts w:ascii="楷体" w:eastAsia="楷体" w:hAnsi="楷体" w:cs="楷体"/>
          <w:b/>
          <w:bCs/>
          <w:sz w:val="28"/>
          <w:szCs w:val="36"/>
        </w:rPr>
      </w:pPr>
      <w:r>
        <w:rPr>
          <w:rFonts w:ascii="楷体" w:eastAsia="楷体" w:hAnsi="楷体" w:cs="楷体"/>
          <w:b/>
          <w:bCs/>
          <w:sz w:val="28"/>
          <w:szCs w:val="36"/>
        </w:rPr>
        <w:t>电子半导体行情点评（5月13日）</w:t>
      </w:r>
    </w:p>
    <w:p w14:paraId="2BAA40A7" w14:textId="77777777" w:rsidR="00580320" w:rsidRDefault="00000000">
      <w:pPr>
        <w:ind w:firstLineChars="200" w:firstLine="422"/>
        <w:rPr>
          <w:rFonts w:ascii="楷体" w:eastAsia="楷体" w:hAnsi="楷体" w:cs="楷体"/>
        </w:rPr>
      </w:pPr>
      <w:r>
        <w:rPr>
          <w:rFonts w:ascii="楷体" w:eastAsia="楷体" w:hAnsi="楷体" w:cs="楷体"/>
          <w:b/>
          <w:bCs/>
        </w:rPr>
        <w:t>A股三大股指全线上涨。</w:t>
      </w:r>
      <w:r>
        <w:rPr>
          <w:rFonts w:ascii="楷体" w:eastAsia="楷体" w:hAnsi="楷体" w:cs="楷体"/>
        </w:rPr>
        <w:t>沪指收盘上涨28.08点，涨幅：0.67%，报4242.57点；深指收盘上涨264.83点，涨幅：1.67%，报16089.75点；创业板指数收盘上涨103.45点，涨幅：2.63%，报4038.33点；国证芯片（980017）指数收盘上涨433.56点，涨幅：2.54%，报17530.07点。</w:t>
      </w:r>
    </w:p>
    <w:p w14:paraId="3D7F1DCF" w14:textId="45B1F678" w:rsidR="00580320" w:rsidRDefault="00000000">
      <w:pPr>
        <w:ind w:firstLineChars="200" w:firstLine="422"/>
        <w:rPr>
          <w:rFonts w:ascii="楷体" w:eastAsia="楷体" w:hAnsi="楷体" w:cs="楷体"/>
        </w:rPr>
      </w:pPr>
      <w:r>
        <w:rPr>
          <w:rFonts w:ascii="楷体" w:eastAsia="楷体" w:hAnsi="楷体" w:cs="楷体"/>
          <w:b/>
          <w:bCs/>
        </w:rPr>
        <w:t>半导体板块全线大涨。</w:t>
      </w:r>
      <w:r>
        <w:rPr>
          <w:rFonts w:ascii="楷体" w:eastAsia="楷体" w:hAnsi="楷体" w:cs="楷体"/>
        </w:rPr>
        <w:t>早盘市场低开高走，盘初芯片股一度承压，海光信息跌超5%、北方华创、沐曦股份、芯原股份、中晶科技跌超4%，存储板块亦同步走弱，北京君正跌超4%、同有科技、江波龙、恒烁股份等多股跌超3%。午后行情迅速反转，半导体材料方向率先发力，电子特气领涨，中船特气20cm斩获3天2板续创历史新高，雅克科技涨停，兴福电子、天岳先进、鼎龙股份涨超10%，华海诚科、飞凯材料、安集科技、华特气体、阿石创等涨幅靠前；存储芯片紧随放量，大普微逼近涨停再创上市新高、总市值突破2700亿元，德明利涨停创历史新高，普冉股份涨近10%、江波龙涨近9%、佰维存储、协创数据等多股冲高，卓胜微涨超15%、盛合晶微涨超10%；算力硬件链同步爆发，万亿巨头工业富联午后涨停，公司CPO全光交换机样机开始出货，生益科技、鹏鼎控股、天孚通信、大族激光等多股涨停，AI算力PCB、铜连接、液冷、光模块方向集体走强；截至收盘，PCB板块大涨、消费电子板块大涨、半导体设计板块上涨、半导体设备材料板块大涨。从结构上看，材料、设备、存储、算力硬件多点共振、全产业链同步发力，相较前期单一AI算力主线行情已演进为更广泛的板块共振格局，反映资金在产业景气深化背景下进行结构性主动配置，存储涨价、设备国产化与AI算力扩张三重逻辑相互验证；当日走势中创业板指与国证芯片同步创新高，属于产业景气逻辑驱动下的趋势性强势，半导体作为A股核心成长主线持续获得增量资金主动配置，可关注后续半导体材料涨价兑现节奏、CPO等先进封装产能释放进展与功率半导体涨价向终端价格的传导持续性。</w:t>
      </w:r>
    </w:p>
    <w:p w14:paraId="50A7718E" w14:textId="77777777" w:rsidR="00580320" w:rsidRDefault="00000000">
      <w:pPr>
        <w:ind w:firstLineChars="200" w:firstLine="422"/>
        <w:rPr>
          <w:rFonts w:ascii="楷体" w:eastAsia="楷体" w:hAnsi="楷体" w:cs="楷体"/>
        </w:rPr>
      </w:pPr>
      <w:r>
        <w:rPr>
          <w:rFonts w:ascii="楷体" w:eastAsia="楷体" w:hAnsi="楷体" w:cs="楷体"/>
          <w:b/>
          <w:bCs/>
        </w:rPr>
        <w:t>建议策略：</w:t>
      </w:r>
      <w:r>
        <w:rPr>
          <w:rFonts w:ascii="楷体" w:eastAsia="楷体" w:hAnsi="楷体" w:cs="楷体"/>
        </w:rPr>
        <w:t>当前半导体板块全产业链共振上涨、创业板指数创历史新高，全球与国内半导体景气度持续深化，建议结合自身风险偏好持续关注主线运行节奏；半导体材料方向受益于电子特气等关键耗材涨价与国产化深化，可审慎评估涨价兑现节奏与产能爬坡进展；半导体设备方向受益于晶圆厂资本开支扩张与国产化率提升，可留意头部设备公司订单兑现节奏与新品验证进展；存储芯片方向涨价周期持续兑现，可跟踪供需偏紧格局下的业绩传导持续性；半导体设计方向受AI算力需求扩张拉动，可关注算力芯片与存储控制器一季报业绩兑现度及新一代产品周期催化；功率半导体方向涨价潮逐步传导，可留意国内厂商的提价兑现节奏与下游需求弹性；PCB方向跟随AI算力链同步走强，可留意高阶算力PCB供应链订单兑现进度；消费电子方向稳健上涨，可关注AI终端创新与需求复苏节奏；整体仓位管理宜结合个人风险承受能力，关注市场结构性机会，避免单一方向过度集中。</w:t>
      </w:r>
    </w:p>
    <w:p w14:paraId="42BC28E1" w14:textId="77777777" w:rsidR="00580320" w:rsidRDefault="00580320"/>
    <w:sectPr w:rsidR="0058032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95CD" w14:textId="77777777" w:rsidR="0029290A" w:rsidRDefault="0029290A" w:rsidP="00085164">
      <w:r>
        <w:separator/>
      </w:r>
    </w:p>
  </w:endnote>
  <w:endnote w:type="continuationSeparator" w:id="0">
    <w:p w14:paraId="5B8833F0" w14:textId="77777777" w:rsidR="0029290A" w:rsidRDefault="0029290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0525"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DFA5"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52D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EB0A" w14:textId="77777777" w:rsidR="0029290A" w:rsidRDefault="0029290A" w:rsidP="00085164">
      <w:r>
        <w:separator/>
      </w:r>
    </w:p>
  </w:footnote>
  <w:footnote w:type="continuationSeparator" w:id="0">
    <w:p w14:paraId="6B368F73" w14:textId="77777777" w:rsidR="0029290A" w:rsidRDefault="0029290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E605"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3D6B"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71E3"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EA471"/>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13640</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320</cp:revision>
  <dcterms:created xsi:type="dcterms:W3CDTF">2025-07-14T07:12:00Z</dcterms:created>
  <dcterms:modified xsi:type="dcterms:W3CDTF">2026-05-13T07:23:00Z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