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电子半导体行情点评（5月14日）</w:t>
      </w:r>
    </w:p>
    <w:p>
      <w:pPr>
        <w:ind w:firstLineChars="200" w:firstLine="422"/>
        <w:rPr>
          <w:rFonts w:ascii="楷体" w:eastAsia="楷体" w:hAnsi="楷体" w:cs="楷体"/>
        </w:rPr>
      </w:pPr>
      <w:r>
        <w:rPr>
          <w:rFonts w:ascii="楷体" w:eastAsia="楷体" w:hAnsi="楷体" w:cs="楷体"/>
          <w:b/>
          <w:bCs/>
        </w:rPr>
        <w:t xml:space="preserve">A股三大股指全线下跌。</w:t>
      </w:r>
      <w:r>
        <w:rPr>
          <w:rFonts w:ascii="楷体" w:eastAsia="楷体" w:hAnsi="楷体" w:cs="楷体"/>
        </w:rPr>
        <w:t xml:space="preserve">沪指收盘下跌64.65点，跌幅：1.52%，报4177.92点；深指收盘下跌344.01点，跌幅：2.14%，报15745.74点；创业板指数收盘下跌87.19点，跌幅：2.16%，报3951.14点；国证芯片（980017）指数收盘下跌464.69点，跌幅：2.65%，报17078.71点。</w:t>
      </w:r>
    </w:p>
    <w:p>
      <w:pPr>
        <w:ind w:firstLineChars="200" w:firstLine="422"/>
        <w:rPr>
          <w:rFonts w:ascii="楷体" w:eastAsia="楷体" w:hAnsi="楷体" w:cs="楷体"/>
        </w:rPr>
      </w:pPr>
      <w:r>
        <w:rPr>
          <w:rFonts w:ascii="楷体" w:eastAsia="楷体" w:hAnsi="楷体" w:cs="楷体"/>
          <w:b/>
          <w:bCs/>
        </w:rPr>
        <w:t xml:space="preserve">半导体板块整体回调。</w:t>
      </w:r>
      <w:r>
        <w:rPr>
          <w:rFonts w:ascii="楷体" w:eastAsia="楷体" w:hAnsi="楷体" w:cs="楷体"/>
        </w:rPr>
        <w:t xml:space="preserve">早盘市场高开低走，芯片产业链集体下挫，海光信息盘中跌超5%、中微公司跌3.62%、拓荆科技跌3.64%、寒武纪跌3.71%、中芯国际跌3.04%、芯源微领跌，中国长城触及跌停，全市场超4300只个股飘绿。盘中工业气体与碳化硅方向逆势走强，中船特气20cm涨停、天岳先进涨超13%，思特威涨6.75%、澜起科技涨3.85%形成结构性亮点。从资金面看，芯片产业链调整过程中ETF端反而出现逆势净申购，半导体设备ETF半日净申购达1300万份，沪深两市半日成交额2.29万亿元、较前日明显放量，显示部分中长线资金对回调位置的主动接纳。截至收盘，PCB板块回调、消费电子板块大跌、半导体设计板块回调、半导体设备材料板块回调。本轮下跌主要为前期连续上涨后的获利兑现与技术性调整，板块在创出阶段新高后估值与持仓拥挤度自然修复，并未改变产业景气向上的中期格局；从结构上看，工业气体、碳化硅等先进材料逆势走强表明资金在板块内部进行节奏切换、由算力主线向上游材料环节扩散，AI算力景气向全链条传导的逻辑仍在延续；2026年全球九大CSP合计资本开支预计同比激增、国产算力公司一季度营收维持高增长，存储需求结构性爆发与国产替代深化构成中长期基本面支撑，当日回调可视为强势趋势中的常规分歧信号，可关注后续算力芯片与存储链业绩兑现节奏及材料环节涨价向产业链下游的传导持续性。</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当前半导体板块在连续上涨后出现技术性回调、产业景气逻辑未变，建议结合自身风险偏好持续关注主线运行节奏；半导体设备材料方向受益于晶圆厂资本开支扩张与国产化深化，回调中可审慎评估头部公司订单兑现节奏与新品验证进展；半导体设计方向受AI算力需求扩张拉动，可留意算力芯片与存储控制器一季报业绩兑现度及新一代产品周期催化；存储芯片方向受全球需求结构性爆发驱动，可跟踪供需偏紧格局下的业绩传导持续性；先进材料方向工业气体、碳化硅等环节逆势走强，可关注国产化率提升与涨价兑现节奏；PCB方向跟随算力链调整，可留意高阶算力PCB供应链订单兑现进度；消费电子方向跟随大盘回落，可关注AI终端创新与需求复苏节奏；整体仓位管理宜结合个人风险承受能力，关注市场结构性机会，避免单一方向过度集中。</w:t>
      </w:r>
    </w:p>
    <w:p/>
    <w:sectPr w:rsidR="0058032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095CD" w14:textId="77777777" w:rsidR="0029290A" w:rsidRDefault="0029290A" w:rsidP="00085164">
      <w:r>
        <w:separator/>
      </w:r>
    </w:p>
  </w:endnote>
  <w:endnote w:type="continuationSeparator" w:id="0">
    <w:p w14:paraId="5B8833F0" w14:textId="77777777" w:rsidR="0029290A" w:rsidRDefault="0029290A"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0525"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DFA5"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52DE"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0EB0A" w14:textId="77777777" w:rsidR="0029290A" w:rsidRDefault="0029290A" w:rsidP="00085164">
      <w:r>
        <w:separator/>
      </w:r>
    </w:p>
  </w:footnote>
  <w:footnote w:type="continuationSeparator" w:id="0">
    <w:p w14:paraId="6B368F73" w14:textId="77777777" w:rsidR="0029290A" w:rsidRDefault="0029290A"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E605"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03D6B"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71E3"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AEA471"/>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13640</TotalTime>
  <Pages>1</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320</cp:revision>
  <dcterms:created xsi:type="dcterms:W3CDTF">2025-07-14T07:12:00Z</dcterms:created>
  <dcterms:modified xsi:type="dcterms:W3CDTF">2026-05-13T07:23:00Z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