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电子半导体行情点评（5月18日）</w:t>
      </w:r>
    </w:p>
    <w:p>
      <w:pPr>
        <w:ind w:firstLineChars="200" w:firstLine="422"/>
        <w:rPr>
          <w:rFonts w:ascii="楷体" w:eastAsia="楷体" w:hAnsi="楷体" w:cs="楷体"/>
        </w:rPr>
      </w:pPr>
      <w:r>
        <w:rPr>
          <w:rFonts w:ascii="楷体" w:eastAsia="楷体" w:hAnsi="楷体" w:cs="楷体"/>
          <w:b/>
          <w:bCs/>
        </w:rPr>
        <w:t xml:space="preserve">A股三大股指小幅下跌。</w:t>
      </w:r>
      <w:r>
        <w:rPr>
          <w:rFonts w:ascii="楷体" w:eastAsia="楷体" w:hAnsi="楷体" w:cs="楷体"/>
        </w:rPr>
        <w:t xml:space="preserve">沪指收盘下跌3.86点，跌幅：0.09%，报4131.53点；深指收盘下跌31.14点，跌幅：0.20%，报15530.23点；创业板指数收盘下跌14.19点，跌幅：0.36%，报3914.88点；国证芯片（980017）指数收盘上涨162.20点，涨幅：0.95%，报17194.82点。</w:t>
      </w:r>
    </w:p>
    <w:p>
      <w:pPr>
        <w:ind w:firstLineChars="200" w:firstLine="422"/>
        <w:rPr>
          <w:rFonts w:ascii="楷体" w:eastAsia="楷体" w:hAnsi="楷体" w:cs="楷体"/>
        </w:rPr>
      </w:pPr>
      <w:r>
        <w:rPr>
          <w:rFonts w:ascii="楷体" w:eastAsia="楷体" w:hAnsi="楷体" w:cs="楷体"/>
          <w:b/>
          <w:bCs/>
        </w:rPr>
        <w:t xml:space="preserve">半导体板块逆市上涨。</w:t>
      </w:r>
      <w:r>
        <w:rPr>
          <w:rFonts w:ascii="楷体" w:eastAsia="楷体" w:hAnsi="楷体" w:cs="楷体"/>
        </w:rPr>
        <w:t xml:space="preserve">早盘三大指数低开后，半导体方向率先发力，科创芯片相关ETF盘中涨近2%，佰维存储涨9.28%、有研硅涨9.25%、思特威涨8.14%，富创精密、安集科技等多股跟涨；科创板新股联讯仪器盘中突破1330元、涨幅一度超13%，成为A股新一代“股王”，公司主营高端测试仪器与半导体测试设备、深度受益AI算力基础设施关键环节国产化攻坚，自上市以来18个交易日股价较发行价上涨超1500%。午后港股芯片股出现明显分化，中芯国际、英诺赛科、天域半导体等跌幅扩大形成短线扰动，但A股半导体板块韧性凸显，半导体材料方向中巨芯-U盘中涨超16%、收于+13%附近，主因披露8亿元定增加码电子级硫酸与集成电路关键材料华北基地项目。海外催化方面，韩国法院批准三星电子部分禁令请求，三星电子、SK海力士股价完成V型反转，存储链情绪获得外溢支撑。截至收盘，PCB板块震荡、消费电子板块上涨、半导体设计板块上涨、半导体设备材料板块上涨。从结构上看，大盘整体回调而半导体方向多点开花、设计存储材料同步走强，反映资金在产业景气深化背景下持续主动配置，AI算力扩张驱动晶圆厂资本开支上修与板块毛利率创历史新高的产业逻辑得到再确认；当日走势在大盘震荡背景下属于产业景气逻辑的强势延续，2026年初至4月末半导体指数累计涨幅显著跑赢沪深300，机构持仓比例稳步抬升，可关注后续存储涨价兑现节奏、设备零部件订单交付进度与电子级化学品涨价向下游的传导持续性，同时留意短期涨幅累积下板块内部的节奏切换。</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在大盘震荡背景下持续逆势走强、产业景气逻辑深化，建议结合自身风险偏好持续关注主线运行节奏；半导体设备方向受益于晶圆厂资本开支扩张与零部件国产化深化，可审慎评估头部公司订单兑现节奏与新品验证进展；半导体材料方向电子级硫酸、电子特气等关键耗材涨价与国产化同步推进，可留意涨价兑现节奏与产能爬坡进展；半导体设计方向受AI算力需求扩张拉动，可关注算力芯片与存储控制器一季报业绩兑现度及新一代产品周期催化；存储芯片方向供需偏紧格局延续，可跟踪海外巨头供给变化与国内厂商业绩传导持续性；消费电子方向稳健回升，可关注AI终端创新与需求复苏节奏；PCB方向震荡整理，可留意高阶算力PCB供应链订单兑现进度；考虑到半导体板块近期涨幅累积、机构提示短期存在阶段性热度偏高，整体仓位管理宜结合个人风险承受能力，关注市场结构性机会，避免单一方向过度集中。</w:t>
      </w:r>
    </w:p>
    <w:p/>
    <w:sectPr w:rsidR="0058032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95CD" w14:textId="77777777" w:rsidR="0029290A" w:rsidRDefault="0029290A" w:rsidP="00085164">
      <w:r>
        <w:separator/>
      </w:r>
    </w:p>
  </w:endnote>
  <w:endnote w:type="continuationSeparator" w:id="0">
    <w:p w14:paraId="5B8833F0" w14:textId="77777777" w:rsidR="0029290A" w:rsidRDefault="0029290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0525"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DFA5"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52D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EB0A" w14:textId="77777777" w:rsidR="0029290A" w:rsidRDefault="0029290A" w:rsidP="00085164">
      <w:r>
        <w:separator/>
      </w:r>
    </w:p>
  </w:footnote>
  <w:footnote w:type="continuationSeparator" w:id="0">
    <w:p w14:paraId="6B368F73" w14:textId="77777777" w:rsidR="0029290A" w:rsidRDefault="0029290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E605"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3D6B"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71E3"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EA471"/>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13640</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320</cp:revision>
  <dcterms:created xsi:type="dcterms:W3CDTF">2025-07-14T07:12:00Z</dcterms:created>
  <dcterms:modified xsi:type="dcterms:W3CDTF">2026-05-13T07:23:00Z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