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电子半导体行情点评（5月20日）</w:t>
      </w:r>
    </w:p>
    <w:p>
      <w:pPr>
        <w:ind w:firstLineChars="200" w:firstLine="422"/>
        <w:rPr>
          <w:rFonts w:ascii="楷体" w:eastAsia="楷体" w:hAnsi="楷体" w:cs="楷体"/>
        </w:rPr>
      </w:pPr>
      <w:r>
        <w:rPr>
          <w:rFonts w:ascii="楷体" w:eastAsia="楷体" w:hAnsi="楷体" w:cs="楷体"/>
          <w:b/>
          <w:bCs/>
        </w:rPr>
        <w:t xml:space="preserve">A股三大股指涨跌互现。</w:t>
      </w:r>
      <w:r>
        <w:rPr>
          <w:rFonts w:ascii="楷体" w:eastAsia="楷体" w:hAnsi="楷体" w:cs="楷体"/>
        </w:rPr>
        <w:t xml:space="preserve">沪指收盘下跌7.35点，跌幅：0.18%，报4162.18点；深指收盘微涨0.07点，涨幅：0.00%，报15569.98点；创业板指数收盘上涨13.35点，涨幅：0.34%，报3921.79点；国证芯片（980017）指数收盘上涨843.32点，涨幅：4.72%，报18722.58点。</w:t>
      </w:r>
    </w:p>
    <w:p>
      <w:pPr>
        <w:ind w:firstLineChars="200" w:firstLine="422"/>
        <w:rPr>
          <w:rFonts w:ascii="楷体" w:eastAsia="楷体" w:hAnsi="楷体" w:cs="楷体"/>
        </w:rPr>
      </w:pPr>
      <w:r>
        <w:rPr>
          <w:rFonts w:ascii="楷体" w:eastAsia="楷体" w:hAnsi="楷体" w:cs="楷体"/>
          <w:b/>
          <w:bCs/>
        </w:rPr>
        <w:t xml:space="preserve">半导体板块全线大涨。</w:t>
      </w:r>
      <w:r>
        <w:rPr>
          <w:rFonts w:ascii="楷体" w:eastAsia="楷体" w:hAnsi="楷体" w:cs="楷体"/>
        </w:rPr>
        <w:t xml:space="preserve">早盘长江存储启动IPO辅导、长鑫科技更新科创板招股书，国产存储双雄冲刺资本市场的重大进展成为当日最强催化；上海合晶强势涨停，华虹公司涨超10%，兆易创新接近涨停，三孚股份、诚邦股份10CM涨停，精智达涨超10%，长电科技、联芸科技涨超7%，大面积个股创出历史新高。午后板块持续上攻，中芯国际大涨14%创股价新高，拓荆科技大涨12%，中科飞测逼近20CM涨停，北方华创、寒武纪等多股同步拉升新高，中船特气涨超10%，科创50涨超2%再创历史新高，2026阿里云峰会同步启幕进一步强化AI算力国产化预期。截至收盘，PCB板块跟涨、消费电子板块小幅上涨、半导体设计板块大涨、半导体设备材料板块大涨。存储链、设备链、制造链多环节同步走强，两大存储龙头相继冲刺科创板标志着国内存储自主化进入规模量产新阶段，后续扩产将持续拉动设备、材料、封测等全链条需求；资金呈跨方向主动配置特征，AI扩张、存储量价齐升与国产化深化三条逻辑共振，当日走势属于产业景气中枢上移的阶段性确认，可关注后续存储IPO进展、先进制程扩产订单兑现与算力芯片出货拐点的验证情况。</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当前半导体板块在国产存储双雄冲刺IPO与AI算力持续扩张多重催化下全线走强，建议结合自身风险偏好关注主线运行节奏；半导体设备材料方向受存储扩产与国产化提速双重驱动，可审慎评估头部公司订单交付节奏与新品验证进展；半导体设计方向AI算力芯片需求旺盛、存储控制器景气延续，可关注相关公司业绩兑现度及新一代产品周期催化；消费电子方向稳健跟涨，可留意AI终端创新与需求复苏节奏；PCB方向跟涨整理，可关注高阶算力PCB供应链订单兑现进度；整体仓位管理宜结合个人风险承受能力，关注市场结构性机会，避免单一方向过度集中。</w:t>
      </w:r>
    </w:p>
    <w:p/>
    <w:sectPr w:rsidR="000C6C1D">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45297" w14:textId="77777777" w:rsidR="002E59CA" w:rsidRDefault="002E59CA" w:rsidP="00085164">
      <w:r>
        <w:separator/>
      </w:r>
    </w:p>
  </w:endnote>
  <w:endnote w:type="continuationSeparator" w:id="0">
    <w:p w14:paraId="506A3B89" w14:textId="77777777" w:rsidR="002E59CA" w:rsidRDefault="002E59C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188A"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6374"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E8AF"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35D42" w14:textId="77777777" w:rsidR="002E59CA" w:rsidRDefault="002E59CA" w:rsidP="00085164">
      <w:r>
        <w:separator/>
      </w:r>
    </w:p>
  </w:footnote>
  <w:footnote w:type="continuationSeparator" w:id="0">
    <w:p w14:paraId="634B0AAB" w14:textId="77777777" w:rsidR="002E59CA" w:rsidRDefault="002E59C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D17C"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90F2"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1619"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5B2F49"/>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13642</TotalTime>
  <Pages>1</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321</cp:revision>
  <dcterms:created xsi:type="dcterms:W3CDTF">2025-07-14T07:12:00Z</dcterms:created>
  <dcterms:modified xsi:type="dcterms:W3CDTF">2026-05-19T07:19:00Z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