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电子半导体行情点评（5月21日）</w:t>
      </w:r>
    </w:p>
    <w:p>
      <w:pPr>
        <w:ind w:firstLineChars="200" w:firstLine="422"/>
        <w:rPr>
          <w:rFonts w:ascii="楷体" w:eastAsia="楷体" w:hAnsi="楷体" w:cs="楷体"/>
        </w:rPr>
      </w:pPr>
      <w:r>
        <w:rPr>
          <w:rFonts w:ascii="楷体" w:eastAsia="楷体" w:hAnsi="楷体" w:cs="楷体"/>
          <w:b/>
          <w:bCs/>
        </w:rPr>
        <w:t xml:space="preserve">A股三大股指高开低走，尾盘加速下挫。</w:t>
      </w:r>
      <w:r>
        <w:rPr>
          <w:rFonts w:ascii="楷体" w:eastAsia="楷体" w:hAnsi="楷体" w:cs="楷体"/>
        </w:rPr>
        <w:t xml:space="preserve">沪指收盘下跌84.91点，跌幅：2.04%，报4077.28点；深指收盘下跌322.71点，跌幅：2.07%，报15247.27点；创业板指数收盘下跌92.01点，跌幅：2.35%，报3829.78点；国证芯片（980017）指数收盘下跌573.27点，跌幅：3.06%，报18149.31点。</w:t>
      </w:r>
    </w:p>
    <w:p>
      <w:pPr>
        <w:ind w:firstLineChars="200" w:firstLine="422"/>
        <w:rPr>
          <w:rFonts w:ascii="楷体" w:eastAsia="楷体" w:hAnsi="楷体" w:cs="楷体"/>
        </w:rPr>
      </w:pPr>
      <w:r>
        <w:rPr>
          <w:rFonts w:ascii="楷体" w:eastAsia="楷体" w:hAnsi="楷体" w:cs="楷体"/>
          <w:b/>
          <w:bCs/>
        </w:rPr>
        <w:t xml:space="preserve">半导体板块高开急速下挫。</w:t>
      </w:r>
      <w:r>
        <w:rPr>
          <w:rFonts w:ascii="楷体" w:eastAsia="楷体" w:hAnsi="楷体" w:cs="楷体"/>
        </w:rPr>
        <w:t xml:space="preserve">早盘英伟达2027财年一季度营收达816.15亿美元、同比增长85%，净利润583.21亿美元、同比增长211%，均刷新最高季度营收纪录，叠加韩国5月前20天芯片出口额同比暴涨202%，国内半导体板块高开冲高，存储与设备两条线率先发力，澜起科技一度涨超10%，北方华创盘中涨幅近10%。午后市场情绪逆转，板块快速回落，上海合晶跌超10%，神工股份、艾森股份等多股深度调整，尾盘跌势蔓延至全产业链。截至收盘，PCB板块整体走弱、消费电子板块小幅下跌、半导体设计板块明显回调、半导体设备材料板块跌幅居前。英伟达超预期财报构成强力催化，但板块经历前期连续三日大涨后已累积较大短线涨幅，盘中快速兑现后获利盘集中出清，资金呈“利好兑现式”节奏切换；设备材料方向跌幅最深，反映高弹性标的短期筹码松动，并非产业逻辑的逆转；全市场放量至3.51万亿成交，当日调整更多属于强势板块内部的短周期换筹动作，半导体产业景气趋势未见拐点，可关注后续资金是否重新承接设备材料及存储链核心方向。</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连续强势后出现短线技术性回调，建议结合自身风险偏好审慎评估介入节奏；半导体设备材料方向受全球晶圆厂资本开支扩张与国产化持续推进支撑，可关注核心方向调整幅度与成交量变化；半导体设计方向AI算力需求持续，可留意板块整固后的结构性机会；消费电子方向可持续关注AI终端需求复苏节奏；PCB方向可关注高阶算力应用需求支撑下的相对韧性；整体仓位管理宜结合个人风险承受能力，关注市场结构性机会，避免集中单一方向。</w:t>
      </w:r>
    </w:p>
    <w:p/>
    <w:sectPr w:rsidR="000C6C1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5297" w14:textId="77777777" w:rsidR="002E59CA" w:rsidRDefault="002E59CA" w:rsidP="00085164">
      <w:r>
        <w:separator/>
      </w:r>
    </w:p>
  </w:endnote>
  <w:endnote w:type="continuationSeparator" w:id="0">
    <w:p w14:paraId="506A3B89" w14:textId="77777777" w:rsidR="002E59CA" w:rsidRDefault="002E59C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188A"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6374"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E8AF"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35D42" w14:textId="77777777" w:rsidR="002E59CA" w:rsidRDefault="002E59CA" w:rsidP="00085164">
      <w:r>
        <w:separator/>
      </w:r>
    </w:p>
  </w:footnote>
  <w:footnote w:type="continuationSeparator" w:id="0">
    <w:p w14:paraId="634B0AAB" w14:textId="77777777" w:rsidR="002E59CA" w:rsidRDefault="002E59C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17C"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90F2"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1619"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B2F49"/>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13642</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321</cp:revision>
  <dcterms:created xsi:type="dcterms:W3CDTF">2025-07-14T07:12:00Z</dcterms:created>
  <dcterms:modified xsi:type="dcterms:W3CDTF">2026-05-19T07:19:00Z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