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电子半导体行情点评（5月26日）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A股三大股指震荡分化。</w:t>
      </w:r>
      <w:r>
        <w:rPr>
          <w:rFonts w:ascii="楷体" w:eastAsia="楷体" w:hAnsi="楷体" w:cs="楷体"/>
        </w:rPr>
        <w:t xml:space="preserve">沪指收盘下跌7.20点，跌幅：0.17%，报4145.37点；深指收盘上涨19.55点，涨幅：0.12%，报15876.16点；创业板指数收盘上涨21.91点，涨幅：0.54%，报4043.07点；国证芯片（980017）指数收盘下跌132.20点，跌幅：0.66%，报19868.50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半导体板块整体回调。</w:t>
      </w:r>
      <w:r>
        <w:rPr>
          <w:rFonts w:ascii="楷体" w:eastAsia="楷体" w:hAnsi="楷体" w:cs="楷体"/>
        </w:rPr>
        <w:t xml:space="preserve">早盘“韬（τ）定律”催化持续发酵，港股科指高开逾1.9%，但A股半导体产业链承压大幅调整，科创50半日跌近3%，诚邦股份跌停，大普微、炬光科技跌超10%，昨日领涨的晶圆制造、设备与封测标的普遍回撤。午后市场大幅修复，创业板指由早盘跌逾0.5%一路翻红，板块内消费电子方向跌幅显著收窄至基本持平，整体韧性相对占优，设备材料及设计方向修复力度相对有限。截至收盘，PCB板块小幅调整、消费电子板块震荡、半导体设计板块走弱、半导体设备材料板块明显回调。今日先抑后扬的走势结构表明资金并未大举撤离，午后显著拉升显示主动配置资金对阶段性消化的容忍度较高，整体仍属前日爆发后的节奏调整而非趋势转向；消费电子方向基本持平，与AI终端创新需求持续支撑下该方向独立的景气逻辑相印证；设备材料回调幅度居前，但国产存储产业化加速——长鑫科技招股书持续更新、长江存储启动IPO辅导——仍为该方向中期景气提供有效支撑，可关注后续催化进展窗口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在“韬（τ）定律”催化效应渐入消化期后出现节奏调整，建议结合自身风险偏好审慎评估各细分方向参与节奏；消费电子方向在AI终端需求支撑下韧性突出，可关注AI智能硬件创新周期对出货量的持续带动；半导体设计及设备材料方向前期涨幅积累较大，可留意资金承接强度与成交量结构的阶段性变化；国产存储产业化进程持续推进，相关IPO进展窗口值得保持关注；整体仓位管理宜结合个人风险承受能力审慎决策，关注市场结构性机会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