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电子半导体行情点评（5月27日）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A股三大股指震荡分化。</w:t>
      </w:r>
      <w:r>
        <w:rPr>
          <w:rFonts w:ascii="楷体" w:eastAsia="楷体" w:hAnsi="楷体" w:cs="楷体"/>
        </w:rPr>
        <w:t xml:space="preserve">沪指收盘下跌51.65点，跌幅：1.25%，报4093.73点；深指收盘下跌139.69点，跌幅：0.88%，报15736.47点；创业板指数收盘上涨2.71点，涨幅：0.07%，报4045.77点；国证芯片（980017）指数收盘下跌539.07点，跌幅：2.71%，报19329.43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半导体板块高开回落。</w:t>
      </w:r>
      <w:r>
        <w:rPr>
          <w:rFonts w:ascii="楷体" w:eastAsia="楷体" w:hAnsi="楷体" w:cs="楷体"/>
        </w:rPr>
        <w:t xml:space="preserve">早盘受外围市场强劲提振，A股存储概念率先领涨，北京君正涨超13%，太极实业、中京电子涨停，华天科技逼近涨停，普冉股份、国科微涨超8%，澜起科技、兆易创新、长电科技等多只标的创历史新高；消费电子及PCB方向同步高开跟进，板块整体气氛积极。午后多方力量减弱，国证芯片指数从高点逾20380点大幅回撤超千点，设备材料与设计方向率先转跌，跌幅持续扩大，全板块转向下行。截至收盘，PCB板块小幅调整、消费电子板块小幅走弱、半导体设计板块明显回调、半导体设备材料板块大幅回调。今日行情呈典型“外部脉冲—内部消化”结构，外围存储链估值重塑带动A股早盘同步冲高，午后资金快速获利兑现，揭示板块在前期连续拉升后内部承接力有所减弱，高位换手特征明显；消费电子方向跌幅相对有限，与AI终端硬件需求持续支撑的独立景气逻辑相印证，资金对该方向的配置黏性相对较强；长江存储完成IPO辅导备案（全球NAND市占率约11%），国产存储产业化加速提供中期主线支撑，今日调整或属催化密集期后的正常节奏整合，可关注后续产业化进展对市场情绪的再度提振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在外围存储链估值重塑催化下高开后回落，建议结合自身风险偏好审慎评估后续参与节奏；存储方向受全球AI需求强劲驱动，长江存储IPO辅导备案完成，可持续关注相关产业化进展窗口；半导体设计与设备材料方向经历较大跌幅，可留意成交量结构与资金承接力度的阶段性变化；消费电子方向相对韧性突出，AI终端硬件创新周期对出货节奏的持续支撑值得保持关注；PCB方向在AI硬件需求扩张背景下量价齐升逻辑延续，可关注订单可持续性；整体仓位管理宜结合个人风险承受能力，关注市场结构性机会，避免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