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电子半导体行情点评（5月28日）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A股三大股指低开高走。</w:t>
      </w:r>
      <w:r>
        <w:rPr>
          <w:rFonts w:ascii="楷体" w:eastAsia="楷体" w:hAnsi="楷体" w:cs="楷体"/>
        </w:rPr>
        <w:t xml:space="preserve">沪指收盘上涨4.91点，涨幅：0.12%，报4098.64点；深指收盘上涨125.42点，涨幅：0.80%，报15861.89点；创业板指数收盘上涨79.30点，涨幅：1.96%，报4125.07点；国证芯片（980017）指数收盘上涨66.42点，涨幅：0.34%，报19395.85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半导体板块整体反弹。</w:t>
      </w:r>
      <w:r>
        <w:rPr>
          <w:rFonts w:ascii="楷体" w:eastAsia="楷体" w:hAnsi="楷体" w:cs="楷体"/>
        </w:rPr>
        <w:t xml:space="preserve">早盘晶圆代工链率先发力，受台积电拟上调3纳米代工报价催化，华虹公司盘内涨幅超过19%创历史新高，中芯国际上涨逾8%同步刷新历史高点，带动国产晶圆制造赛道情绪显著回暖；PCB方向同步走强，建滔积层板发布板料涨价10%、PP（半固化片）涨价20%的涨价通知——铜价高企叠加玻璃布供应趋紧构成价格传导驱动——奕东电子20CM涨停，铜冠铜箔涨超13%，正业科技、德福科技等多股涨超10%。午后CPO概念加速拉升，联特科技涨停，中际旭创涨超7%；MLCC方向博杰股份等多股涨停；6G概念同步走强，本川智能20CM涨停。截至收盘，PCB板块大幅上涨、消费电子板块震荡、半导体设计板块小幅上涨、半导体设备材料板块小幅上涨。晶圆代工方向领涨背后有明确的产业价格逻辑：全球先进制程产能供需持续偏紧，制造端定价权强化，国产晶圆代工龙头的估值修复路径较为清晰；PCB方向原材料双重涨价向产品端传导，量价齐升逻辑进一步强化，资金响应体现产业趋势性配置特征；长鑫科技科创板IPO获上市委会议通过，国产存储产业化重要里程碑落地，为存储与先进封装主线的中期估值提供有效支撑；消费电子方向小幅震荡属正常节奏整合，AI终端创新需求的中长期支撑逻辑并未动摇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整体反弹，晶圆代工方向在涨价预期催化下领涨，建议结合自身风险偏好审慎评估后续参与节奏；PCB方向原材料涨价传导逻辑延续，可关注后续订单传导节奏及产品端价格落地情况；国产存储产业化进程加速推进，长鑫科技IPO过会为中期主线提供支撑，可持续关注相关产业化进展窗口；半导体设计与设备材料方向小幅回升，可留意成交量结构与资金承接力度的阶段性变化；消费电子方向在AI终端需求支撑下具备中长期配置价值，可保持关注；整体仓位管理宜结合个人风险承受能力审慎决策，关注市场结构性机会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