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电子半导体行情点评（5月29日）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A股三大股指震荡回落。</w:t>
      </w:r>
      <w:r>
        <w:rPr>
          <w:rFonts w:ascii="楷体" w:eastAsia="楷体" w:hAnsi="楷体" w:cs="楷体"/>
        </w:rPr>
        <w:t xml:space="preserve">沪指收盘下跌30.07点，跌幅：0.73%，报4068.57点；深指收盘下跌286.76点，跌幅：1.81%，报15575.13点；创业板指数收盘下跌87.12点，跌幅：2.11%，报4037.95点；国证芯片（980017）指数收盘下跌1048.11点，跌幅：5.40%，报18347.74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半导体板块全线下挫。</w:t>
      </w:r>
      <w:r>
        <w:rPr>
          <w:rFonts w:ascii="楷体" w:eastAsia="楷体" w:hAnsi="楷体" w:cs="楷体"/>
        </w:rPr>
        <w:t xml:space="preserve">早盘受外围存储概念走强提振，板块一度高开，港股芯片半导体股延续活跃，但A股冲高乏力、快速回落，科创50指数盘中跌幅一度超过3%。盘中半导体产业链持续走低，华大九天跌超10%，中芯国际跌逾6%，派瑞股份、银河微电、复旦微电、南芯科技、力合微跌超8%，龙图光罩、天岳先进、芯原股份等多股跟跌；与此同时，资金明显流向低位方向，大消费、地产、电力板块逆势走强，白酒、免税、零售多股涨停。截至收盘，PCB板块走弱、消费电子板块大幅回调、半导体设计板块大幅回调、半导体设备材料板块大幅回调。今日调整与月末时点高度相关：5月创业板指与科创50指数分别累计上涨9.81%、11.47%并刷新历史新高，前期连续拉升后高位获利兑现需求集中释放，半导体作为本轮领涨主线首当其冲；当日资金呈现典型的高低切换特征，由高估值科技成长向低位消费、地产、公用事业轮动，体现月末阶段性的结构再平衡，而非主线逻辑的根本逆转；国产替代与AI算力需求的中长期产业趋势并未改变，本次回调更接近高位密集获利后的正常节奏整合，后续可关注承接力度与主线情绪的修复进度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月末高位回调，全线走弱，建议结合自身风险偏好审慎评估后续参与节奏；本轮调整与5月指数创新高后的获利兑现及资金高低切换相关，可保持关注主线情绪与承接力度的修复进度；国产替代与AI算力需求的中长期产业趋势未变，可持续关注相关产业化进展窗口；半导体设计与设备材料方向回调幅度较大，可留意成交量结构与资金承接力度的阶段性变化；消费电子方向在AI终端需求支撑下具备中长期配置价值，可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