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电子半导体行情点评（5月7日）</w:t>
      </w:r>
    </w:p>
    <w:p>
      <w:pPr>
        <w:ind w:firstLineChars="200" w:firstLine="422"/>
        <w:rPr>
          <w:rFonts w:ascii="楷体" w:eastAsia="楷体" w:hAnsi="楷体" w:cs="楷体"/>
        </w:rPr>
      </w:pPr>
      <w:r>
        <w:rPr>
          <w:rFonts w:ascii="楷体" w:eastAsia="楷体" w:hAnsi="楷体" w:cs="楷体"/>
          <w:b/>
          <w:bCs/>
        </w:rPr>
        <w:t xml:space="preserve">A股三大股指集体走强。</w:t>
      </w:r>
      <w:r>
        <w:rPr>
          <w:rFonts w:ascii="楷体" w:eastAsia="楷体" w:hAnsi="楷体" w:cs="楷体"/>
        </w:rPr>
        <w:t xml:space="preserve">沪指收盘上涨19.92点，涨幅：0.48%，报4180.09点；深指收盘上涨182.27点，涨幅：1.18%，报15641.89点；创业板指数收盘上涨54.90点，涨幅：1.45%，报3833.06点；国证芯片（980017）指数收盘上涨238.41点，涨幅：1.47%，报16450.40点。</w:t>
      </w:r>
    </w:p>
    <w:p>
      <w:pPr>
        <w:ind w:firstLineChars="200" w:firstLine="422"/>
        <w:rPr>
          <w:rFonts w:ascii="楷体" w:eastAsia="楷体" w:hAnsi="楷体" w:cs="楷体"/>
        </w:rPr>
      </w:pPr>
      <w:r>
        <w:rPr>
          <w:rFonts w:ascii="楷体" w:eastAsia="楷体" w:hAnsi="楷体" w:cs="楷体"/>
          <w:b/>
          <w:bCs/>
        </w:rPr>
        <w:t xml:space="preserve">半导体板块全线上涨。</w:t>
      </w:r>
      <w:r>
        <w:rPr>
          <w:rFonts w:ascii="楷体" w:eastAsia="楷体" w:hAnsi="楷体" w:cs="楷体"/>
        </w:rPr>
        <w:t xml:space="preserve">盘初半导体产业链涨价主线持续发酵，晶圆代工龙头华虹公司、盛合晶微双双涨超10%股价均创历史新高，新相微、南芯科技涨幅近15%，唯特偶涨超12%，裕太微-U、澜起科技、希荻微等盘中涨超5%，伟测科技、太极实业、芯动联科、聚辰股份等多只设计与封测个股纷纷冲高；港股市场芯片股同步爆发形成联动效应，华虹半导体盘中大涨超11%、壁仞科技涨超18%、骏码半导体涨超30%，进一步强化A股板块情绪。午后算力硬件方向继续走强，AI浪潮下光纤、CPO、PCB细分领涨，东山精密、杭电股份、华盛昌等多股封板，创业板指刷新近11年新高，全市场成交31683亿元、超120只个股涨停。截至收盘，PCB板块大涨、消费电子板块大涨、半导体设计板块上涨、半导体设备材料板块大涨。今日行情核心驱动是半导体全产业链涨价的产业基本面共振——上游材料、晶圆代工、封装环节年内同步涨价，叠加2026年一季度全球半导体销售额同比增长近八成、存储器同比上涨超两倍的高景气数据，A股超六成半导体公司净利润同比增长、行业销售毛利率环比提升2.49个百分点，板块从估值修复阶段进入业绩兑现阶段；从资金行为看，主动型基金对半导体重仓市值已达4539亿元、超配比例继续提升，资金主动配置特征明确，板块内部呈现晶圆代工与算力硬件双线并进而非单一主线集中的格局，反映市场对国产替代深化与AI算力需求的中长期共识进一步夯实；叠加DeepSeek-V4预览版发布及沐曦、摩尔线程等头部国产AI芯片公司一季度业绩亮丽，行业研究机构定性已由“全面复苏”切换至AI驱动的“结构性繁荣”，板块中期产业逻辑获多维度印证，可关注后续业绩兑现节奏与细分方向轮动。</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当前半导体板块在全产业链涨价与AI算力需求共振下整体走强，市场关注度保持较高水平，建议结合自身风险偏好持续关注主线运行节奏；半导体设备材料与PCB方向同步大涨，可审慎评估全产业链涨价向中游环节的传导持续性与高阶PCB供应链订单兑现节奏；半导体设计方向稳健上涨，可跟踪一季报业绩兑现度与AI算力需求扩张节奏；消费电子方向受益于AI终端创新与产业链景气抬升，可留意需求复苏节奏与新品周期催化；存储芯片在全球供需偏紧背景下景气度持续，可关注涨价传导与季报兑现进展；整体仓位管理宜结合个人风险承受能力，关注市场结构性机会，避免单一方向过度集中。</w:t>
      </w:r>
    </w:p>
    <w:p/>
    <w:sectPr w:rsidR="00576E01" w:rsidRPr="0015630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59F85" w14:textId="77777777" w:rsidR="00C74D7A" w:rsidRDefault="00C74D7A" w:rsidP="00085164">
      <w:r>
        <w:separator/>
      </w:r>
    </w:p>
  </w:endnote>
  <w:endnote w:type="continuationSeparator" w:id="0">
    <w:p w14:paraId="67956307" w14:textId="77777777" w:rsidR="00C74D7A" w:rsidRDefault="00C74D7A"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altName w:val="Arial Unicode MS"/>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F988"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C2CD"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0378E"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D0C10" w14:textId="77777777" w:rsidR="00C74D7A" w:rsidRDefault="00C74D7A" w:rsidP="00085164">
      <w:r>
        <w:separator/>
      </w:r>
    </w:p>
  </w:footnote>
  <w:footnote w:type="continuationSeparator" w:id="0">
    <w:p w14:paraId="40F70B9D" w14:textId="77777777" w:rsidR="00C74D7A" w:rsidRDefault="00C74D7A"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B25AD"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D9CE"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418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4CD6"/>
    <w:rsid w:val="000355E2"/>
    <w:rsid w:val="00037C6D"/>
    <w:rsid w:val="00040C17"/>
    <w:rsid w:val="000419AE"/>
    <w:rsid w:val="00041EF8"/>
    <w:rsid w:val="000424B4"/>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3D9B"/>
    <w:rsid w:val="002943FA"/>
    <w:rsid w:val="0029500B"/>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17E2"/>
    <w:rsid w:val="00456389"/>
    <w:rsid w:val="00456CCF"/>
    <w:rsid w:val="0046313F"/>
    <w:rsid w:val="0046326C"/>
    <w:rsid w:val="0046538E"/>
    <w:rsid w:val="00470924"/>
    <w:rsid w:val="0047122B"/>
    <w:rsid w:val="0047140C"/>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955BDB"/>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13631</TotalTime>
  <Pages>1</Pages>
  <Words>87</Words>
  <Characters>500</Characters>
  <Application>Microsoft Office Word</Application>
  <DocSecurity>0</DocSecurity>
  <Lines>4</Lines>
  <Paragraphs>1</Paragraphs>
  <ScaleCrop>false</ScaleCrop>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318</cp:revision>
  <dcterms:created xsi:type="dcterms:W3CDTF">2025-07-14T07:12:00Z</dcterms:created>
  <dcterms:modified xsi:type="dcterms:W3CDTF">2026-04-09T07:32:00Z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