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电子半导体行情点评（5月8日）</w:t>
      </w:r>
    </w:p>
    <w:p>
      <w:pPr>
        <w:ind w:firstLineChars="200" w:firstLine="422"/>
        <w:rPr>
          <w:rFonts w:ascii="楷体" w:eastAsia="楷体" w:hAnsi="楷体" w:cs="楷体"/>
        </w:rPr>
      </w:pPr>
      <w:r>
        <w:rPr>
          <w:rFonts w:ascii="楷体" w:eastAsia="楷体" w:hAnsi="楷体" w:cs="楷体"/>
          <w:b/>
          <w:bCs/>
        </w:rPr>
        <w:t xml:space="preserve">A股三大股指震荡走弱。</w:t>
      </w:r>
      <w:r>
        <w:rPr>
          <w:rFonts w:ascii="楷体" w:eastAsia="楷体" w:hAnsi="楷体" w:cs="楷体"/>
        </w:rPr>
        <w:t xml:space="preserve">沪指收盘下跌0.14点，跌幅：0.00%，报4179.95点；深指收盘下跌78.09点，跌幅：0.50%，报15563.80点；创业板指数收盘下跌36.93点，跌幅：0.96%，报3796.13点；国证芯片（980017）指数收盘下跌495.25点，跌幅：3.01%，报15955.15点。</w:t>
      </w:r>
    </w:p>
    <w:p>
      <w:pPr>
        <w:ind w:firstLineChars="200" w:firstLine="422"/>
        <w:rPr>
          <w:rFonts w:ascii="楷体" w:eastAsia="楷体" w:hAnsi="楷体" w:cs="楷体"/>
        </w:rPr>
      </w:pPr>
      <w:r>
        <w:rPr>
          <w:rFonts w:ascii="楷体" w:eastAsia="楷体" w:hAnsi="楷体" w:cs="楷体"/>
          <w:b/>
          <w:bCs/>
        </w:rPr>
        <w:t xml:space="preserve">半导体板块整体回调。</w:t>
      </w:r>
      <w:r>
        <w:rPr>
          <w:rFonts w:ascii="楷体" w:eastAsia="楷体" w:hAnsi="楷体" w:cs="楷体"/>
        </w:rPr>
        <w:t xml:space="preserve">盘初算力芯片方向率先承压，A股港股芯片股形成联动调整，华虹公司、寒武纪盘中跌超6%，港股华虹半导体一度大跌10%，中芯国际、兆易创新跌超5%，科创50指数早盘一度跌超3%；与此同时半导体硅片细分逆势走强，立昂微涨停、西安奕材涨超10%，上海合晶、有研硅、沪硅产业等多股冲高，中信证券研报指出2026Q2有望成为海外12寸轻掺硅片涨价的关键节点、开启硅片新一轮量价齐升周期，形成结构性支撑。午后市场资金呈现明显的高低切换特征，PCB概念反复走强，山东玻纤7天4板、迅捷兴20cm涨停、宝鼎科技2连板，AI应用、商业航天、机器人等中小盘方向同步活跃，全市场超3000只个股上涨而指数承压，呈现典型的指数调整、个股扩散格局。截至收盘，PCB板块表现亮眼、消费电子板块小幅上涨、半导体设计板块走弱、半导体设备材料板块整体回调。今日行情体现阶段性高位主线的节奏整理：算力芯片方向在前期持续上涨与机构持仓集中度显著抬升后出现自然的获利兑现，板块短线积累的涨幅有序消化，并不改变中长期国产替代深化与AI算力扩张的产业逻辑；从资金行为看，硅片细分异动叠加PCB连续强势，显示资金在半导体内部进行结构性轮动，由短线高拥挤方向向具备涨价催化与算力配套属性的方向有序切换；当日走势更接近高位主线的休整信号而非趋势切换，可关注后续硅片涨价兑现节奏与PCB高阶产品订单进展。</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当前半导体板块整体出现节奏调整，但中长期产业逻辑未变，建议结合自身风险偏好持续关注主线运行节奏；半导体硅片方向受12寸硅片涨价周期催化逆势走强，可审慎评估涨价兑现节奏与产能利用率提升进展；PCB方向资金活跃度较高，可留意高阶算力PCB供应链订单与业绩兑现节奏；半导体设计方向短线获利兑现，可跟踪估值消化与一季报业绩持续性；消费电子方向整体稳健，可关注AI终端创新节奏与需求复苏进展；整体仓位管理宜结合个人风险承受能力，关注市场结构性机会，避免单一方向过度集中。</w:t>
      </w:r>
    </w:p>
    <w:p/>
    <w:sectPr w:rsidR="00576E01" w:rsidRPr="0015630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9F85" w14:textId="77777777" w:rsidR="00C74D7A" w:rsidRDefault="00C74D7A" w:rsidP="00085164">
      <w:r>
        <w:separator/>
      </w:r>
    </w:p>
  </w:endnote>
  <w:endnote w:type="continuationSeparator" w:id="0">
    <w:p w14:paraId="67956307" w14:textId="77777777" w:rsidR="00C74D7A" w:rsidRDefault="00C74D7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Arial Unicode MS"/>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F988"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C2CD"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378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D0C10" w14:textId="77777777" w:rsidR="00C74D7A" w:rsidRDefault="00C74D7A" w:rsidP="00085164">
      <w:r>
        <w:separator/>
      </w:r>
    </w:p>
  </w:footnote>
  <w:footnote w:type="continuationSeparator" w:id="0">
    <w:p w14:paraId="40F70B9D" w14:textId="77777777" w:rsidR="00C74D7A" w:rsidRDefault="00C74D7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25AD"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D9CE"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418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3D9B"/>
    <w:rsid w:val="002943FA"/>
    <w:rsid w:val="0029500B"/>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55BDB"/>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13631</TotalTime>
  <Pages>1</Pages>
  <Words>87</Words>
  <Characters>500</Characters>
  <Application>Microsoft Office Word</Application>
  <DocSecurity>0</DocSecurity>
  <Lines>4</Lines>
  <Paragraphs>1</Paragraphs>
  <ScaleCrop>false</ScaleCrop>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318</cp:revision>
  <dcterms:created xsi:type="dcterms:W3CDTF">2025-07-14T07:12:00Z</dcterms:created>
  <dcterms:modified xsi:type="dcterms:W3CDTF">2026-04-09T07:32:00Z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