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电子半导体行情点评（6月10日）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A股三大股指冲高回落。</w:t>
      </w:r>
      <w:r>
        <w:rPr>
          <w:rFonts w:ascii="楷体" w:eastAsia="楷体" w:hAnsi="楷体" w:cs="楷体"/>
        </w:rPr>
        <w:t xml:space="preserve">沪指收盘下跌16.80点，跌幅：0.42%，报3993.23点；深指收盘下跌314.61点，跌幅：2.06%，报14954.10点；创业板指数收盘下跌106.96点，跌幅：2.70%，报3854.79点；国证芯片（980017）指数收盘下跌230.00点，跌幅：1.30%，报17521.28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半导体板块震荡分化。</w:t>
      </w:r>
      <w:r>
        <w:rPr>
          <w:rFonts w:ascii="楷体" w:eastAsia="楷体" w:hAnsi="楷体" w:cs="楷体"/>
        </w:rPr>
        <w:t xml:space="preserve">受隔夜美股芯片股再度下挫拖累，费城半导体指数跌1.93%、ARM跌超6%、高通跌超5%，光通信概念股迈威尔科技、康宁、Coherent等普遍走低，A股半导体板块早盘冲高后震荡回落。盘面上，半导体硅片、半导体材料方向逆势走强，信越化学、SUMCO、环球晶圆同步上调12英寸硅片价格，叠加国产替代加速，硅片与设备材料相关个股表现活跃；而前期领涨的消费电子、算力硬件方向高位回吐，光通信、PCB概念跟随外围调整。资金动向上，主线内部由强势的算力硬件、光通信向上游设备材料切换，电子板块经前期快速上涨后成交活跃度维持高位，AI产业链上中游出现节奏消化需求。截至收盘，PCB板块走弱、消费电子板块大跌、半导体设计板块小幅走弱、半导体设备材料板块逆势上涨。今日高开回落紧接昨日V型修复，属板块快速反弹后的获利兑现与节奏再平衡，并非产业景气逻辑的转向。设备材料逆势走强而消费电子、算力硬件回调，反映资金在板块内部向硅片涨价、国产替代等产业确定性更高的上游环节主动轮动。当日分化可视为前期普涨后的结构切换信号，硅片价格上行拐点与国产替代窗口为上游材料方向提供中期支撑，后续可关注外围情绪修复力度与板块内部轮动的持续性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今日高开回落、内部分化，行情由前期快速反弹进入节奏再平衡与结构切换阶段，建议结合自身风险偏好审慎评估后续参与节奏；本次回落主要源于隔夜外围芯片股再度承压下的获利兑现，国产算力与半导体国产替代中长期景气逻辑未变，可保持关注外围情绪修复力度与成交量承接情况；半导体设备材料方向受硅片涨价拐点与国内扩产、国产替代窗口支撑逆势走强，可关注板块内部结构性机会；消费电子方向短期回调，但端侧AI需求支撑其中长期配置价值，可保持关注；当前市场波动加大、热点轮动较快，整体仓位管理宜结合个人风险承受能力审慎决策，关注市场结构性机会与节奏变化，避免集中单一方向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