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电子半导体行情点评（6月11日）</w:t>
      </w:r>
    </w:p>
    <w:p>
      <w:pPr>
        <w:ind w:firstLineChars="200" w:firstLine="422"/>
        <w:rPr>
          <w:rFonts w:ascii="楷体" w:eastAsia="楷体" w:hAnsi="楷体" w:cs="楷体"/>
        </w:rPr>
      </w:pPr>
      <w:r>
        <w:rPr>
          <w:rFonts w:ascii="楷体" w:eastAsia="楷体" w:hAnsi="楷体" w:cs="楷体"/>
          <w:b/>
          <w:bCs/>
        </w:rPr>
        <w:t xml:space="preserve">A股三大股指震荡下行。</w:t>
      </w:r>
      <w:r>
        <w:rPr>
          <w:rFonts w:ascii="楷体" w:eastAsia="楷体" w:hAnsi="楷体" w:cs="楷体"/>
        </w:rPr>
        <w:t xml:space="preserve">沪指收盘下跌6.21点，跌幅：0.16%，报3987.01点；深指收盘下跌102.13点，跌幅：0.68%，报14851.98点；创业板指数收盘下跌43.55点，跌幅：1.13%，报3811.25点；国证芯片（980017）指数收盘上涨88.94点，涨幅：0.51%，报17610.22点。</w:t>
      </w:r>
    </w:p>
    <w:p>
      <w:pPr>
        <w:ind w:firstLineChars="200" w:firstLine="422"/>
        <w:rPr>
          <w:rFonts w:ascii="楷体" w:eastAsia="楷体" w:hAnsi="楷体" w:cs="楷体"/>
        </w:rPr>
      </w:pPr>
      <w:r>
        <w:rPr>
          <w:rFonts w:ascii="楷体" w:eastAsia="楷体" w:hAnsi="楷体" w:cs="楷体"/>
          <w:b/>
          <w:bCs/>
        </w:rPr>
        <w:t xml:space="preserve">半导体板块逆势走强。</w:t>
      </w:r>
      <w:r>
        <w:rPr>
          <w:rFonts w:ascii="楷体" w:eastAsia="楷体" w:hAnsi="楷体" w:cs="楷体"/>
        </w:rPr>
        <w:t xml:space="preserve">在三大股指震荡回落、市场普遍调整的背景下，半导体设备材料链成为全场最大亮点，光刻胶、电子特气、先进封装方向集体爆发。盘面上，光刻胶概念强势，华特气体、炬光科技20CM涨停，中巨芯-U触及20CM涨停，中船特气涨超15%，南大光电涨超10%，雅克科技10CM涨停；先进封装方向同步活跃，甬矽电子涨超10%、太极实业涨停、银河微电涨超9%。消息面上，英飞凌、意法半导体、德州仪器等国际功率芯片大厂相继发布涨价函，叠加政策定调光电芯片、国内扩产招标加速国产替代，上游材料与设备景气预期持续强化。午后资金延续向上游集中，科创半导体、半导体设备方向连续走强冲击四连阳，配置资金借大盘调整逆势回流。截至收盘，PCB板块震荡、消费电子板块小幅回调、半导体设计板块小幅上涨、半导体设备材料板块大涨。设备材料逆势领涨而消费电子、PCB走弱，反映资金在主线内部进一步向硅片、光刻胶、电子特气等国产替代确定性更高、且具备涨价逻辑的上游环节主动集中。当日半导体在大盘普跌中逆势走强，可视为资金对产业景气主线的再确认信号，功率芯片涨价潮、政策对光电芯片的定调与设备材料国产化窗口为上游方向提供中期支撑，后续可关注涨价向业绩的兑现节奏与板块内部轮动的持续性。</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在大盘调整中逆势走强，设备材料、光刻胶、电子特气等上游方向表现活跃，行情呈现资金向产业确定性主线集中的结构特征，建议结合自身风险偏好审慎评估后续参与节奏；本轮上游走强受功率芯片涨价潮、政策定调光电芯片与国产替代加速共振推动，国产算力与半导体国产替代中长期景气逻辑未变，可保持关注涨价兑现与产业链传导节奏；半导体设备材料方向受益国内扩产、扩产招标锁定国产与上游涨价支撑，可关注板块内部结构性机会；消费电子、PCB方向短期表现偏弱，但端侧AI需求支撑其中长期配置价值，可保持关注；当前市场波动加大、热点轮动较快，整体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