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电子半导体行情点评（6月12日）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A股三大股指集体上涨。</w:t>
      </w:r>
      <w:r>
        <w:rPr>
          <w:rFonts w:ascii="楷体" w:eastAsia="楷体" w:hAnsi="楷体" w:cs="楷体"/>
        </w:rPr>
        <w:t xml:space="preserve">沪指收盘上涨44.50点，涨幅：1.12%，报4031.51点；深指收盘上涨111.43点，涨幅：0.75%，报14963.41点；创业板指数收盘上涨19.11点，涨幅：0.50%，报3830.35点；国证芯片（980017）指数收盘下跌132.90点，跌幅：0.75%，报17477.32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半导体板块高开低走。</w:t>
      </w:r>
      <w:r>
        <w:rPr>
          <w:rFonts w:ascii="楷体" w:eastAsia="楷体" w:hAnsi="楷体" w:cs="楷体"/>
        </w:rPr>
        <w:t xml:space="preserve">隔夜美伊止战预期升温，费城半导体指数大涨7.9%、创2025年4月以来最大单日涨幅，美光科技、应用材料、ARM涨超11%，受此催化A股半导体早盘集体高开，国证芯片指数盘初一度涨超4%，存储方向佰维存储盘中股价创历史新高，先进封装、元件等概念开盘活跃。消息面上，SK海力士计划2034年前后将晶圆产能提高两倍以满足AI存储激增需求，韩国半导体出口大幅增长，国内2万亿元AIDC建设计划相关预期升温，硅片酝酿新一轮直接涨价，多重催化共振。但板块盘中冲高回落，前期强势的工业气体方向调整明显，华特气体、中船特气跌超10%，先进封装、被动元件午后跌幅居前；资金转向有色金属、商业航天、券商等方向，全市场成交3.24万亿元、较前一交易日放量超6600亿元，超3900股上涨。截至收盘，PCB板块震荡、消费电子板块小幅回调、半导体设计板块小幅走弱、半导体设备材料板块回调。当日高开低走更多体现外围强催化在开盘集中定价后的获利兑现，板块连续上涨后存在自然的节奏消化需求；资金并未离场而是向低位方向扩散，市场呈现放量普涨格局下的主线轮休特征；存储扩产、硅片涨价与AIDC建设等产业逻辑仍在强化，短线整固不改景气主线的中期方向，后续可关注量能承接与板块内部再聚焦的节奏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</w:t>
      </w:r>
      <w:r>
        <w:rPr>
          <w:rFonts w:ascii="楷体" w:eastAsia="楷体" w:hAnsi="楷体" w:cs="楷体"/>
        </w:rPr>
        <w:t xml:space="preserve">半导体板块今日高开低走，外围大涨催化集中定价后板块进入短线整固，建议结合自身风险偏好审慎评估后续参与节奏；存储扩产、韩国半导体出口高增、硅片涨价与AIDC建设预期等产业催化延续，国产算力与半导体国产替代中长期景气逻辑未变，可保持关注；半导体设备材料方向短期回调，但国内扩产与上游涨价支撑仍在，可关注板块内部结构性机会；消费电子方向短期走弱，端侧AI需求支撑其中长期配置价值，可保持关注；当前市场放量普涨、热点轮动较快，整体仓位管理宜结合个人风险承受能力审慎决策，关注市场结构性机会与节奏变化，避免集中单一方向。</w:t>
      </w:r>
    </w:p>
    <w:p/>
    <w:sectPr w:rsidR="006E6A3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4D9A3" w14:textId="77777777" w:rsidR="00627636" w:rsidRDefault="00627636" w:rsidP="00085164">
      <w:r>
        <w:separator/>
      </w:r>
    </w:p>
  </w:endnote>
  <w:endnote w:type="continuationSeparator" w:id="0">
    <w:p w14:paraId="5708C1E1" w14:textId="77777777" w:rsidR="00627636" w:rsidRDefault="00627636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EE96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C67B2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FFBD61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04776" w14:textId="77777777" w:rsidR="00627636" w:rsidRDefault="00627636" w:rsidP="00085164">
      <w:r>
        <w:separator/>
      </w:r>
    </w:p>
  </w:footnote>
  <w:footnote w:type="continuationSeparator" w:id="0">
    <w:p w14:paraId="14BC3794" w14:textId="77777777" w:rsidR="00627636" w:rsidRDefault="00627636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7767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BB3F1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6831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3279"/>
    <w:rsid w:val="00034CD6"/>
    <w:rsid w:val="000355E2"/>
    <w:rsid w:val="00037C6D"/>
    <w:rsid w:val="00040C17"/>
    <w:rsid w:val="000419AE"/>
    <w:rsid w:val="00041EF8"/>
    <w:rsid w:val="000424B4"/>
    <w:rsid w:val="000455D5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C1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C5C86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290A"/>
    <w:rsid w:val="00293D9B"/>
    <w:rsid w:val="002943FA"/>
    <w:rsid w:val="0029500B"/>
    <w:rsid w:val="002956EC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E59CA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0B93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1BB1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017F"/>
    <w:rsid w:val="00580320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27636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35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0B6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2389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2FF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48AE00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13643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322</cp:revision>
  <dcterms:created xsi:type="dcterms:W3CDTF">2025-07-14T07:12:00Z</dcterms:created>
  <dcterms:modified xsi:type="dcterms:W3CDTF">2026-05-25T07:27:00Z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