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电子半导体行情点评（6月15日）</w:t>
      </w:r>
    </w:p>
    <w:p>
      <w:pPr>
        <w:ind w:firstLineChars="200" w:firstLine="422"/>
        <w:rPr>
          <w:rFonts w:ascii="楷体" w:eastAsia="楷体" w:hAnsi="楷体" w:cs="楷体"/>
        </w:rPr>
      </w:pPr>
      <w:r>
        <w:rPr>
          <w:rFonts w:ascii="楷体" w:eastAsia="楷体" w:hAnsi="楷体" w:cs="楷体"/>
          <w:b/>
          <w:bCs/>
        </w:rPr>
        <w:t xml:space="preserve">A股三大股指集体大涨。</w:t>
      </w:r>
      <w:r>
        <w:rPr>
          <w:rFonts w:ascii="楷体" w:eastAsia="楷体" w:hAnsi="楷体" w:cs="楷体"/>
        </w:rPr>
        <w:t xml:space="preserve">沪指收盘上涨64.96点，涨幅：1.61%，报4096.47点；深指收盘上涨567.70点，涨幅：3.79%，报15531.11点；创业板指数收盘上涨203.18点，涨幅：5.30%，报4033.53点；国证芯片（980017）指数收盘上涨1046.51点，涨幅：5.99%，报18523.83点。</w:t>
      </w:r>
    </w:p>
    <w:p>
      <w:pPr>
        <w:ind w:firstLineChars="200" w:firstLine="422"/>
        <w:rPr>
          <w:rFonts w:ascii="楷体" w:eastAsia="楷体" w:hAnsi="楷体" w:cs="楷体"/>
        </w:rPr>
      </w:pPr>
      <w:r>
        <w:rPr>
          <w:rFonts w:ascii="楷体" w:eastAsia="楷体" w:hAnsi="楷体" w:cs="楷体"/>
          <w:b/>
          <w:bCs/>
        </w:rPr>
        <w:t xml:space="preserve">半导体板块全线大涨。</w:t>
      </w:r>
      <w:r>
        <w:rPr>
          <w:rFonts w:ascii="楷体" w:eastAsia="楷体" w:hAnsi="楷体" w:cs="楷体"/>
        </w:rPr>
        <w:t xml:space="preserve">受美伊达成停战谅解框架、加息预期降温带动成长股估值分母端修复，叠加产业景气催化共振，板块早盘即集体走强。盘面上，PCB概念掀涨停潮，天承科技、逸豪新材20CM涨停，国际复材、铜冠铜箔涨超17%，生益科技反包涨停续创历史新高，AI光模块PCB三年迎5倍增长的需求预期点燃做多热情；MLCC方向全线大涨，达利凯普、宏达电子20CM涨停，三环集团涨超18%，风华高科等十余股涨停，高端MLCC陶瓷粉体量价齐升预期升温。午后存储芯片股集体走强，华润微、北京君正、华虹宏力涨超8%；半导体芯片、玻璃基板、光通信方向同步活跃，炬光科技、士兰微涨停，全市场成交3.05万亿元、超3900股上涨。截至收盘，PCB板块大涨、消费电子板块大涨、半导体设计板块大涨、半导体设备材料板块上涨。当日普涨延续了资金对AI硬件主线的再聚焦，外部地缘扰动缓和叠加加息预期降温，为成长资产打开估值修复窗口；与此前资金集中于上游设备材料的单点突破不同，本轮做多力量已扩散至PCB、MLCC、存储、光通信全链条，呈现主线内部全面开花的特征；产业逻辑相互印证下，当日加速上涨可视为景气主线在外部不确定性缓和后的方向再确认信号，后续可关注量能持续性与高位品种的轮动节奏。</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半导体板块今日全线大涨，PCB、MLCC、存储、光通信等AI硬件方向集体爆发，行情呈现外部扰动缓和下成长主线全面修复的特征，建议结合自身风险偏好审慎评估后续参与节奏；本轮上涨受美伊停战缓和地缘担忧、加息预期降温修复成长股估值，与AI光模块、MLCC量价齐升、存储景气上行等产业逻辑共振推动，国产算力与半导体国产替代中长期景气逻辑未变，可保持关注产业催化向业绩的兑现节奏；半导体设计、设备材料方向受国产替代与上游涨价支撑，可关注板块内部结构性机会；消费电子受端侧AI需求支撑，中长期配置价值仍在；当前市场放量普涨、高位品种波动加大，仓位管理宜结合个人风险承受能力审慎决策，关注市场结构性机会与节奏变化，避免集中单一方向。</w:t>
      </w:r>
    </w:p>
    <w:p/>
    <w:sectPr w:rsidR="006E6A3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D9A3" w14:textId="77777777" w:rsidR="00627636" w:rsidRDefault="00627636" w:rsidP="00085164">
      <w:r>
        <w:separator/>
      </w:r>
    </w:p>
  </w:endnote>
  <w:endnote w:type="continuationSeparator" w:id="0">
    <w:p w14:paraId="5708C1E1" w14:textId="77777777" w:rsidR="00627636" w:rsidRDefault="00627636"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EE96"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67B2"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BD61"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4776" w14:textId="77777777" w:rsidR="00627636" w:rsidRDefault="00627636" w:rsidP="00085164">
      <w:r>
        <w:separator/>
      </w:r>
    </w:p>
  </w:footnote>
  <w:footnote w:type="continuationSeparator" w:id="0">
    <w:p w14:paraId="14BC3794" w14:textId="77777777" w:rsidR="00627636" w:rsidRDefault="00627636"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7767"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B3F1"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831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455D5"/>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C1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C5C86"/>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E59CA"/>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1BB1"/>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27636"/>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35"/>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2389"/>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8AE00"/>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13643</TotalTime>
  <Pages>1</Pages>
  <Words>158</Words>
  <Characters>907</Characters>
  <Application>Microsoft Office Word</Application>
  <DocSecurity>0</DocSecurity>
  <Lines>7</Lines>
  <Paragraphs>2</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322</cp:revision>
  <dcterms:created xsi:type="dcterms:W3CDTF">2025-07-14T07:12:00Z</dcterms:created>
  <dcterms:modified xsi:type="dcterms:W3CDTF">2026-05-25T07:27:00Z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