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电子半导体行情点评（6月16日）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A股三大股指涨跌分化。</w:t>
      </w:r>
      <w:r>
        <w:rPr>
          <w:rFonts w:ascii="楷体" w:eastAsia="楷体" w:hAnsi="楷体" w:cs="楷体"/>
        </w:rPr>
        <w:t xml:space="preserve">沪指收盘下跌4.58点，跌幅：0.11%，报4091.89点；深指收盘上涨144.14点，涨幅：0.93%，报15675.25点；创业板指数收盘上涨69.41点，涨幅：1.72%，报4102.94点；国证芯片（980017）指数收盘上涨178.24点，涨幅：0.96%，报18702.07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半导体板块震荡走高。</w:t>
      </w:r>
      <w:r>
        <w:rPr>
          <w:rFonts w:ascii="楷体" w:eastAsia="楷体" w:hAnsi="楷体" w:cs="楷体"/>
        </w:rPr>
        <w:t xml:space="preserve">隔夜美股费城半导体指数大涨4.45%，西部数据涨超16%创收盘历史新高、美光科技涨超10%、ARM涨超8%，外围强催化提振A股半导体早盘做多情绪。盘面上，MLCC方向“史上最长缺货潮”预期升温，振华科技等多股涨停，被动元件量价齐升逻辑获资金关注；PCB概念继续强势，逸豪新材涨超17%，国际复材、本川智能涨超11%，宏昌电子、宝鼎科技、光华科技、华正新材等10CM涨停，生益科技涨超8%；玻璃玻纤方向中材科技等多股涨停，光纤方向永鼎股份、大族激光涨停，铜箔方向诺德股份、光华科技实现2连板。科创板半导体股表现强势，南芯科技涨停，澜起科技成交额达131亿元居首。午后算力租赁概念放量拉升，进一步提振AI硬件需求预期。截至收盘，PCB板块大涨、消费电子板块上涨、半导体设计板块小幅上涨、半导体设备材料板块小幅上涨。当日沪指微跌而创业板涨逾1.7%，资金向成长与AI硬件主线集中的特征鲜明；MLCC缺货、铜箔涨价、钼代钨等产业催化叠加费半大涨的情绪传导，构成多重共振；与此前资金集中于存储与上游材料不同，本轮做多力量已扩散至PCB、MLCC、光纤、被动元件全链条，呈现主线内部积极轮动特征，可视为AI硬件景气主线在外部催化下的方向延续信号，后续可留意量能承接与高位品种的轮动节奏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震荡走高，PCB、MLCC、光纤、被动元件等AI硬件方向集体活跃，行情呈现外围催化提振下成长主线积极轮动的特征，建议结合自身风险偏好审慎评估后续参与节奏；本轮上涨受隔夜费城半导体指数大涨情绪传导，叠加MLCC缺货涨价、铜箔涨价与钼代钨等产业催化共振推动，国产算力与半导体国产替代中长期景气逻辑未变，可保持关注产业催化向业绩的兑现节奏；半导体设计、设备材料方向受国产替代与上游涨价支撑，可关注板块内部结构性机会；消费电子受端侧AI需求支撑，中长期配置价值仍在；当前题材热度集中、高位品种波动加大，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