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电子半导体行情点评（6月17日）</w:t>
      </w:r>
    </w:p>
    <w:p>
      <w:pPr>
        <w:ind w:firstLineChars="200" w:firstLine="422"/>
        <w:rPr>
          <w:rFonts w:ascii="楷体" w:eastAsia="楷体" w:hAnsi="楷体" w:cs="楷体"/>
        </w:rPr>
      </w:pPr>
      <w:r>
        <w:rPr>
          <w:rFonts w:ascii="楷体" w:eastAsia="楷体" w:hAnsi="楷体" w:cs="楷体"/>
          <w:b/>
          <w:bCs/>
        </w:rPr>
        <w:t xml:space="preserve">A股三大股指集体上涨。</w:t>
      </w:r>
      <w:r>
        <w:rPr>
          <w:rFonts w:ascii="楷体" w:eastAsia="楷体" w:hAnsi="楷体" w:cs="楷体"/>
        </w:rPr>
        <w:t xml:space="preserve">沪指收盘上涨16.18点，涨幅：0.40%，报4108.08点；深指收盘上涨205.71点，涨幅：1.31%，报15880.95点；创业板指数收盘上涨64.11点，涨幅：1.56%，报4167.05点；国证芯片（980017）指数收盘上涨1129.49点，涨幅：6.04%，报19831.56点。</w:t>
      </w:r>
    </w:p>
    <w:p>
      <w:pPr>
        <w:ind w:firstLineChars="200" w:firstLine="422"/>
        <w:rPr>
          <w:rFonts w:ascii="楷体" w:eastAsia="楷体" w:hAnsi="楷体" w:cs="楷体"/>
        </w:rPr>
      </w:pPr>
      <w:r>
        <w:rPr>
          <w:rFonts w:ascii="楷体" w:eastAsia="楷体" w:hAnsi="楷体" w:cs="楷体"/>
          <w:b/>
          <w:bCs/>
        </w:rPr>
        <w:t xml:space="preserve">半导体板块全线大涨。</w:t>
      </w:r>
      <w:r>
        <w:rPr>
          <w:rFonts w:ascii="楷体" w:eastAsia="楷体" w:hAnsi="楷体" w:cs="楷体"/>
        </w:rPr>
        <w:t xml:space="preserve">半导体设备材料方向领涨，盛美上海20CM涨停、中巨芯涨超13%双双续创历史新高，西安奕材涨超16%，普冉股份涨14%，拓荆科技、唯特偶涨超10%，华海清科、华峰测控涨超9%，板块内部呈现普涨格局。盘中PCB概念再度走强，深南电路涨停续创历史新高，宏昌电子7天5板，华正新材3连板，十余只成分股涨停；玻璃基板方向京东方Ａ、美迪凯等多股涨停；MLCC方向海星股份3连板、艾华集团涨停；CPO、存储芯片概念同步领涨，科创50指数涨1.01%。截至收盘，PCB、消费电子、半导体设计、半导体设备材料板块全线大涨。当日国证芯片大涨6.04%而沪指仅微涨0.40%，资金向科技成长主线高度聚焦的特征鲜明；SEMI数据显示一季度全球半导体设备出货365.5亿美元、同比增长14%创单季历史新高，AI驱动的先进逻辑、DRAM与先进封装扩产持续兑现，并向上游材料、特种气体环节传导涨价预期，本轮设备材料领涨正是产能扩张逻辑由下游需求向上游供给环节延伸的体现；与此前资金集中于PCB、存储不同，本轮做多力量明显扩散至设备、材料、光通信全链条，可视为AI硬件景气主线在产业数据印证下的方向再确认信号，后续可留意量能承接与高位品种的轮动节奏。</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全线大涨，半导体设备材料、PCB、CPO、存储等方向集体活跃，行情呈现产业景气印证下成长主线高度聚焦的特征，建议结合自身风险偏好审慎评估后续参与节奏；本轮上涨受SEMI全球半导体设备出货创单季历史新高、先进封装与DRAM扩产带动上游材料涨价预期，叠加国产替代与流动性环境改善等多重逻辑共振推动，国产算力与半导体国产替代中长期景气逻辑未变，可保持关注产业催化向业绩的兑现节奏；半导体设备材料方向受全球扩产与上游涨价支撑，半导体设计受需求回暖驱动，可关注板块内部结构性机会；消费电子受端侧AI需求支撑，中长期配置价值仍在；当前市场结构分化加剧、高位品种波动加大，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