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电子半导体行情点评（6月18日）</w:t>
      </w:r>
    </w:p>
    <w:p>
      <w:pPr>
        <w:ind w:firstLineChars="200" w:firstLine="422"/>
        <w:rPr>
          <w:rFonts w:ascii="楷体" w:eastAsia="楷体" w:hAnsi="楷体" w:cs="楷体"/>
        </w:rPr>
      </w:pPr>
      <w:r>
        <w:rPr>
          <w:rFonts w:ascii="楷体" w:eastAsia="楷体" w:hAnsi="楷体" w:cs="楷体"/>
          <w:b/>
          <w:bCs/>
        </w:rPr>
        <w:t xml:space="preserve">A股三大股指涨跌分化。</w:t>
      </w:r>
      <w:r>
        <w:rPr>
          <w:rFonts w:ascii="楷体" w:eastAsia="楷体" w:hAnsi="楷体" w:cs="楷体"/>
        </w:rPr>
        <w:t xml:space="preserve">沪指收盘下跌17.59点，跌幅：0.43%，报4090.48点；深指收盘上涨149.75点，涨幅：0.94%，报16030.70点；创业板指数收盘上涨85.34点，涨幅：2.05%，报4252.39点；国证芯片（980017）指数收盘上涨889.72点，涨幅：4.49%，报20721.28点。</w:t>
      </w:r>
    </w:p>
    <w:p>
      <w:pPr>
        <w:ind w:firstLineChars="200" w:firstLine="422"/>
        <w:rPr>
          <w:rFonts w:ascii="楷体" w:eastAsia="楷体" w:hAnsi="楷体" w:cs="楷体"/>
        </w:rPr>
      </w:pPr>
      <w:r>
        <w:rPr>
          <w:rFonts w:ascii="楷体" w:eastAsia="楷体" w:hAnsi="楷体" w:cs="楷体"/>
          <w:b/>
          <w:bCs/>
        </w:rPr>
        <w:t xml:space="preserve">半导体板块强势上涨。</w:t>
      </w:r>
      <w:r>
        <w:rPr>
          <w:rFonts w:ascii="楷体" w:eastAsia="楷体" w:hAnsi="楷体" w:cs="楷体"/>
        </w:rPr>
        <w:t xml:space="preserve">寒武纪盘中飙涨超15%续创历史新高，兆易创新、华虹宏力、晶合集成等多股刷新历史高点，晶升股份、裕太微-Ｕ20CM涨停，帝科股份、屹唐股份涨超10%；芯片设计方向胜科纳米、盛科通信-Ｕ、芯原股份涨超7%，海光信息、沐曦股份-Ｕ涨超6%。消息面上，陆家嘴论坛释放拥抱科技的重磅信号，监管层发言聚焦科技主线、科创板与创业板改革成为主要着力点，叠加国内大厂国产算力采购持续兑现，板块做多情绪高涨。盘中铜与PCB方向联袂走强，江西铜业涨停，世名科技20CM涨停，铜冠铜箔等跟涨，AI覆铜板—高频高速铜箔需求逻辑发酵，科创50指数大涨。截至收盘，PCB板块活跃上涨、消费电子板块上涨、半导体设计板块大涨、半导体设备材料板块小幅上涨。当日沪指微跌而创业板涨逾2%、国证芯片大涨近4.5%，资金向科技成长主线高度集中的特征鲜明；本轮上涨由政策端拥抱科技的制度信号与产业端国产算力采购、中报业绩验证窗口临近形成共振，芯片设计方向领涨反映资金沿业绩兑现与国产替代主线主动配置；随着中报预告密集期临近，存储、光模块、PCB等方向关注度持续提升，本轮走势可视为AI硬件景气主线由情绪驱动向业绩验证切换的方向确认信号，后续可留意量能承接与高位品种的轮动节奏。</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强势上涨，芯片设计、PCB、消费电子等方向集体活跃，行情呈现政策信号与产业景气共振下成长主线高度聚焦的特征，建议结合自身风险偏好审慎评估后续参与节奏；本轮上涨受陆家嘴论坛拥抱科技的制度信号、国内大厂国产算力采购持续兑现及中报业绩验证窗口临近等多重逻辑共振推动，国产算力与半导体国产替代中长期景气逻辑未变，可保持关注产业催化向业绩的兑现节奏；半导体设计方向受需求回暖与国产替代支撑，设备材料受全球扩产带动，可关注板块内部结构性机会；消费电子受端侧AI需求支撑，中长期配置价值仍在；当前市场进入中报验证窗口、高位品种波动加大，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