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电子半导体行情点评（6月22日）</w:t>
      </w:r>
    </w:p>
    <w:p>
      <w:pPr>
        <w:ind w:firstLineChars="200" w:firstLine="422"/>
        <w:rPr>
          <w:rFonts w:ascii="楷体" w:eastAsia="楷体" w:hAnsi="楷体" w:cs="楷体"/>
        </w:rPr>
      </w:pPr>
      <w:r>
        <w:rPr>
          <w:rFonts w:ascii="楷体" w:eastAsia="楷体" w:hAnsi="楷体" w:cs="楷体"/>
          <w:b/>
          <w:bCs/>
        </w:rPr>
        <w:t xml:space="preserve">A股三大股指放量上涨。</w:t>
      </w:r>
      <w:r>
        <w:rPr>
          <w:rFonts w:ascii="楷体" w:eastAsia="楷体" w:hAnsi="楷体" w:cs="楷体"/>
        </w:rPr>
        <w:t xml:space="preserve">沪指收盘上涨72.62点，涨幅：1.78%，报4163.10点；深指收盘上涨341.80点，涨幅：2.13%，报16372.50点；创业板指数收盘上涨107.00点，涨幅：2.52%，报4359.39点；国证芯片（980017）指数收盘上涨752.52点，涨幅：3.63%，报21473.80点。</w:t>
      </w:r>
    </w:p>
    <w:p>
      <w:pPr>
        <w:ind w:firstLineChars="200" w:firstLine="422"/>
        <w:rPr>
          <w:rFonts w:ascii="楷体" w:eastAsia="楷体" w:hAnsi="楷体" w:cs="楷体"/>
        </w:rPr>
      </w:pPr>
      <w:r>
        <w:rPr>
          <w:rFonts w:ascii="楷体" w:eastAsia="楷体" w:hAnsi="楷体" w:cs="楷体"/>
          <w:b/>
          <w:bCs/>
        </w:rPr>
        <w:t xml:space="preserve">半导体板块全线上涨。</w:t>
      </w:r>
      <w:r>
        <w:rPr>
          <w:rFonts w:ascii="楷体" w:eastAsia="楷体" w:hAnsi="楷体" w:cs="楷体"/>
        </w:rPr>
        <w:t xml:space="preserve">存储芯片方向领涨，协创数据、富满微涨超11%，香农芯创涨超10%，有研新材、三孚股份10CM涨停，太极实业、华润微涨超8%，长电科技、兆易创新、深科技、澜起科技、江波龙等涨超5%，兆易创新、北方华创、佰维存储、生益科技、华海清科等多股续创历史新高；设备材料方向晶盛机电、圣邦股份涨超7%，中微公司、普冉股份涨超6%。盘中资金延续向科技成长主线聚集，科创半导体相关ETF连续两日净流入、近5日合计吸金逾10亿元，全市场成交额放量至3.76万亿元、较前一交易日增量逾4300亿元，科创50指数续创历史新高。消息面上，英特尔与联电就先进制程达成合作，海外费城半导体指数前期大涨，国产存储与算力链景气延续共振。截至收盘，PCB板块活跃上涨、消费电子板块上涨、半导体设计板块上涨、半导体设备材料板块大涨。当日国证芯片大涨3.63%、放量创出阶段新高，资金在存储、设备材料、芯片设计等主线内部积极轮动，普涨格局显示做多力量明显扩散；本轮上涨由存储涨价预期、先进封装与制程扩产及国产替代逻辑共振驱动，设备材料与存储方向领涨反映产能扩张由下游需求向上游供给环节延伸；随着中报预告密集期临近，量价齐升的走势可视为AI硬件景气主线向业绩验证切换的方向确认信号，后续可留意高位品种的轮动节奏与量能承接。</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放量全线上涨，存储芯片、设备材料、芯片设计等方向集体活跃，行情呈现产业景气与流动性共振下成长主线高度聚焦的特征，建议结合自身风险偏好审慎评估后续参与节奏；本轮上涨受存储涨价预期、先进封装与制程扩产带动上游材料需求，叠加国产算力采购兑现与中报业绩验证窗口临近等多重逻辑共振推动，国产替代与AI硬件中长期景气逻辑未变，可保持关注产业催化向业绩的兑现节奏；半导体设备材料方向受全球扩产与上游需求支撑，半导体设计受需求回暖与国产替代驱动，可关注板块内部结构性机会；消费电子受端侧AI需求支撑，中长期配置价值仍在；当前市场放量创新高、部分高位品种波动加大，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